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53" w:rsidRPr="00C660BF" w:rsidRDefault="00395E53" w:rsidP="00C660BF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مؤتمر</w:t>
      </w:r>
      <w:r w:rsidRPr="00C660B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«</w:t>
      </w: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نحو</w:t>
      </w:r>
      <w:r w:rsidRPr="00C660B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تصديق</w:t>
      </w:r>
      <w:r w:rsidRPr="00C660B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مصر</w:t>
      </w:r>
      <w:r w:rsidRPr="00C660B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على</w:t>
      </w:r>
      <w:r w:rsidRPr="00C660B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معاهدة</w:t>
      </w:r>
      <w:r w:rsidRPr="00C660B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مراكش</w:t>
      </w:r>
      <w:r w:rsidRPr="00C660B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»</w:t>
      </w:r>
    </w:p>
    <w:p w:rsidR="00395E53" w:rsidRPr="00C660BF" w:rsidRDefault="00395E53" w:rsidP="00C660BF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البيان</w:t>
      </w:r>
      <w:r w:rsidRPr="00C660B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الختامي</w:t>
      </w:r>
    </w:p>
    <w:p w:rsidR="002625EB" w:rsidRPr="00C660BF" w:rsidRDefault="002625EB" w:rsidP="00C660BF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C660B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الديباجة</w:t>
      </w:r>
    </w:p>
    <w:p w:rsidR="003E6153" w:rsidRPr="00D45056" w:rsidRDefault="00692778" w:rsidP="007B4915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انطلاق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 من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نصوص دستور 2014، والدساتير المصرية السابقة،</w:t>
      </w:r>
      <w:r w:rsidR="002D0B8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FE1409">
        <w:rPr>
          <w:rFonts w:ascii="Traditional Arabic" w:hAnsi="Traditional Arabic" w:cs="Traditional Arabic"/>
          <w:sz w:val="32"/>
          <w:szCs w:val="32"/>
          <w:rtl/>
          <w:lang w:bidi="ar-EG"/>
        </w:rPr>
        <w:t>ال</w:t>
      </w:r>
      <w:r w:rsidR="00FE140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تي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FE140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تع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زز </w:t>
      </w:r>
      <w:r w:rsidR="00360102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الحريات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</w:t>
      </w:r>
      <w:r w:rsidR="00FE140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ضمن</w:t>
      </w:r>
      <w:r w:rsidR="003E6153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الحقوق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</w:t>
      </w:r>
      <w:r w:rsidR="00FE140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رس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َّ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خ مبدأ المواطنة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</w:t>
      </w:r>
      <w:r w:rsidR="00FE140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ت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كفل</w:t>
      </w:r>
      <w:r w:rsidR="00360102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المساو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360102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ة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لكل الموا</w:t>
      </w:r>
      <w:r w:rsidR="004D4F18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طنين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4D4F18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ومنهم الأشخاص ذوي الإعاق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ات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4D4F18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فضلاً عن إرساء 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العناصر ال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تي تفضي إلى بناء اقتصاد المعرفة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</w:p>
    <w:p w:rsidR="003E6153" w:rsidRPr="00D45056" w:rsidRDefault="003E6153" w:rsidP="00C77E4A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وباعتبار مصر دولة رائدة عربي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 و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فريقي</w:t>
      </w:r>
      <w:r w:rsidR="004D687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 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في 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دعم</w:t>
      </w:r>
      <w:r w:rsidR="008641DB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البعد التنموي في كافة المحافل الإقليمية والدولية، بما فيها ا</w:t>
      </w:r>
      <w:r w:rsidR="00CE6F7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لمنظمة العالمية للملكية الفكرية</w:t>
      </w:r>
      <w:r w:rsidR="00191E31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D687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</w:t>
      </w:r>
      <w:r w:rsidR="00191E31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ويبو</w:t>
      </w:r>
      <w:r w:rsidR="004D687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8641D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</w:p>
    <w:p w:rsidR="005D2FE9" w:rsidRPr="00D45056" w:rsidRDefault="003E6153" w:rsidP="00F32CC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وحيث أن </w:t>
      </w:r>
      <w:r w:rsidR="008641DB">
        <w:rPr>
          <w:rFonts w:ascii="Traditional Arabic" w:hAnsi="Traditional Arabic" w:cs="Traditional Arabic"/>
          <w:sz w:val="32"/>
          <w:szCs w:val="32"/>
          <w:rtl/>
          <w:lang w:bidi="ar-EG"/>
        </w:rPr>
        <w:t>«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معاهدة مراكش لتيسير النفاذ إلى المصنفات المنشورة </w:t>
      </w:r>
      <w:r w:rsidR="00395E5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لفائدة</w:t>
      </w:r>
      <w:r w:rsidR="00395E53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الأشخاص المكفوفين أ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 معاقي 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البصر أو 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ذوي إعاقات أخرى </w:t>
      </w:r>
      <w:r w:rsidR="00395E5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في 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قراءة المطبوع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ات</w:t>
      </w:r>
      <w:r w:rsidR="008641DB">
        <w:rPr>
          <w:rFonts w:ascii="Traditional Arabic" w:hAnsi="Traditional Arabic" w:cs="Traditional Arabic"/>
          <w:sz w:val="32"/>
          <w:szCs w:val="32"/>
          <w:rtl/>
          <w:lang w:bidi="ar-EG"/>
        </w:rPr>
        <w:t>»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تمثل نقلة نوعية في مجال الملكية الفكرية باعتبارها الأولى من نوعها التي تؤكد حقوق ذوي الإعاقة البصرية في الوصول إلى الأعمال المنشورة من خلال إقرار قيود واستثناءات في مجال حق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وق المؤلف تتيح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النفاذ إلى هذه الأعمال</w:t>
      </w:r>
      <w:r w:rsidR="00357F1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</w:p>
    <w:p w:rsidR="005D2FE9" w:rsidRPr="00D45056" w:rsidRDefault="005D2FE9" w:rsidP="00F32CC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وإدراك</w:t>
      </w:r>
      <w:r w:rsidR="00C4673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 لمحورية إتاحة المعرفة في تحقيق التنمية الشاملة المستندة إلى 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الاقتصاد المبني على هذه المعرفة</w:t>
      </w:r>
      <w:r w:rsidR="008A10B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</w:p>
    <w:p w:rsidR="005D2FE9" w:rsidRPr="00D45056" w:rsidRDefault="003333E6" w:rsidP="00C660B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وإعمالاً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التزامات مصر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الدولية في مجال حقوق الإنسان، 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من بينها </w:t>
      </w:r>
      <w:r w:rsidR="004200CD">
        <w:rPr>
          <w:rFonts w:ascii="Traditional Arabic" w:hAnsi="Traditional Arabic" w:cs="Traditional Arabic"/>
          <w:sz w:val="32"/>
          <w:szCs w:val="32"/>
          <w:rtl/>
          <w:lang w:bidi="ar-EG"/>
        </w:rPr>
        <w:t>«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الإعلان العالمي لحقوق الإنسان</w:t>
      </w:r>
      <w:r w:rsidR="004200CD">
        <w:rPr>
          <w:rFonts w:ascii="Traditional Arabic" w:hAnsi="Traditional Arabic" w:cs="Traditional Arabic"/>
          <w:sz w:val="32"/>
          <w:szCs w:val="32"/>
          <w:rtl/>
          <w:lang w:bidi="ar-EG"/>
        </w:rPr>
        <w:t>»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</w:t>
      </w:r>
      <w:r w:rsidR="004200CD">
        <w:rPr>
          <w:rFonts w:ascii="Traditional Arabic" w:hAnsi="Traditional Arabic" w:cs="Traditional Arabic"/>
          <w:sz w:val="32"/>
          <w:szCs w:val="32"/>
          <w:rtl/>
          <w:lang w:bidi="ar-EG"/>
        </w:rPr>
        <w:t>«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اتفاقية حقوق الأشخاص ذوي الإعاقة</w:t>
      </w:r>
      <w:r w:rsidR="004200CD">
        <w:rPr>
          <w:rFonts w:ascii="Traditional Arabic" w:hAnsi="Traditional Arabic" w:cs="Traditional Arabic"/>
          <w:sz w:val="32"/>
          <w:szCs w:val="32"/>
          <w:rtl/>
          <w:lang w:bidi="ar-EG"/>
        </w:rPr>
        <w:t>»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، فضلاً عن التزامات</w:t>
      </w:r>
      <w:r w:rsidR="004200C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ها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مجال الملكية الفكرية بمو</w:t>
      </w:r>
      <w:r w:rsidR="00A91157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ج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ب </w:t>
      </w:r>
      <w:r w:rsidR="00534872">
        <w:rPr>
          <w:rFonts w:ascii="Traditional Arabic" w:hAnsi="Traditional Arabic" w:cs="Traditional Arabic"/>
          <w:sz w:val="32"/>
          <w:szCs w:val="32"/>
          <w:rtl/>
          <w:lang w:bidi="ar-EG"/>
        </w:rPr>
        <w:t>«</w:t>
      </w:r>
      <w:r w:rsidR="00791639" w:rsidRPr="0079163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اتفاقية</w:t>
      </w:r>
      <w:r w:rsidR="00791639" w:rsidRPr="007916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بيرن لحماية المصنفات الأدبية والفنية</w:t>
      </w:r>
      <w:r w:rsidR="00534872">
        <w:rPr>
          <w:rFonts w:ascii="Traditional Arabic" w:hAnsi="Traditional Arabic" w:cs="Traditional Arabic"/>
          <w:sz w:val="32"/>
          <w:szCs w:val="32"/>
          <w:rtl/>
          <w:lang w:bidi="ar-EG"/>
        </w:rPr>
        <w:t>»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واتفاقيات منظمة التجارة العالمية، لاسيما </w:t>
      </w:r>
      <w:r w:rsidR="00534872">
        <w:rPr>
          <w:rFonts w:ascii="Traditional Arabic" w:hAnsi="Traditional Arabic" w:cs="Traditional Arabic"/>
          <w:sz w:val="32"/>
          <w:szCs w:val="32"/>
          <w:rtl/>
          <w:lang w:bidi="ar-EG"/>
        </w:rPr>
        <w:t>«</w:t>
      </w:r>
      <w:r w:rsidR="005D2FE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اتفاق </w:t>
      </w:r>
      <w:r w:rsidR="0036643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جوانب 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حقوق الملكية الفكرية</w:t>
      </w:r>
      <w:r w:rsidR="0036643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المتصلة بالتجارة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D687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تريبس</w:t>
      </w:r>
      <w:r w:rsidR="004D687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  <w:r w:rsidR="00534872">
        <w:rPr>
          <w:rFonts w:ascii="Traditional Arabic" w:hAnsi="Traditional Arabic" w:cs="Traditional Arabic"/>
          <w:sz w:val="32"/>
          <w:szCs w:val="32"/>
          <w:rtl/>
          <w:lang w:bidi="ar-EG"/>
        </w:rPr>
        <w:t>»</w:t>
      </w:r>
      <w:r w:rsidR="0053487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</w:p>
    <w:p w:rsidR="00E10129" w:rsidRPr="00D45056" w:rsidRDefault="00E10129" w:rsidP="00C660B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وبالنظر إلى </w:t>
      </w:r>
      <w:r w:rsidR="009B3A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أن </w:t>
      </w:r>
      <w:r w:rsidR="009B3A69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9B3A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لاً</w:t>
      </w:r>
      <w:r w:rsidR="00755ED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من تونس والإمارات العربية المتحدة</w:t>
      </w:r>
      <w:r w:rsidR="009B3A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قد صدقتا على هذه الاتفاقية </w:t>
      </w:r>
      <w:r w:rsidR="00E2404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المهمة</w:t>
      </w:r>
      <w:r w:rsidR="00E24045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التي ت</w:t>
      </w:r>
      <w:r w:rsidR="00E2404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عد بحق نقلة نوعية في حياة الأشخاص ذوي الإعاقة البصرية</w:t>
      </w:r>
      <w:r w:rsidR="00E2404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</w:p>
    <w:p w:rsidR="007E23EC" w:rsidRPr="00D45056" w:rsidRDefault="005D2FE9" w:rsidP="00C660B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 xml:space="preserve">وفي إطار الفرصة التي سيوفرها تصديق مصر على </w:t>
      </w:r>
      <w:r w:rsidR="004D6879">
        <w:rPr>
          <w:rFonts w:ascii="Traditional Arabic" w:hAnsi="Traditional Arabic" w:cs="Traditional Arabic"/>
          <w:sz w:val="32"/>
          <w:szCs w:val="32"/>
          <w:rtl/>
          <w:lang w:bidi="ar-EG"/>
        </w:rPr>
        <w:t>«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اتفاقية مراكش</w:t>
      </w:r>
      <w:r w:rsidR="004D6879">
        <w:rPr>
          <w:rFonts w:ascii="Traditional Arabic" w:hAnsi="Traditional Arabic" w:cs="Traditional Arabic"/>
          <w:sz w:val="32"/>
          <w:szCs w:val="32"/>
          <w:rtl/>
          <w:lang w:bidi="ar-EG"/>
        </w:rPr>
        <w:t>»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تعزيز </w:t>
      </w:r>
      <w:r w:rsidR="0020062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لتعاون العربي المشترك في مجال تبادل المطبوعات الميسرة لذوي الإعاقة البصرية سواء من خلال التواصل الفردي أو عبر منظمات المجتمع المدني، بما فيهم من يمثلون ذوي</w:t>
      </w:r>
      <w:r w:rsidR="00A91157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الإعاقة البصرية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فضلاً عن إتاحة المجال لتبادل هذه المطبوعات الميسرة 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مع دول العال</w:t>
      </w:r>
      <w:r w:rsidR="00360102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الأخرى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مما يعزز ويوثق فكرة التبادل والتعارف بين الحضارات</w:t>
      </w:r>
      <w:r w:rsidR="001E1F6D">
        <w:rPr>
          <w:rFonts w:ascii="Traditional Arabic" w:hAnsi="Traditional Arabic" w:cs="Traditional Arabic"/>
          <w:sz w:val="32"/>
          <w:szCs w:val="32"/>
          <w:rtl/>
          <w:lang w:bidi="ar-EG"/>
        </w:rPr>
        <w:t>–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تجدر 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الإشارة 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إلى أن نسبة 7</w:t>
      </w:r>
      <w:r w:rsidR="00A64D74" w:rsidRPr="00C660BF">
        <w:rPr>
          <w:rFonts w:ascii="Traditional Arabic" w:hAnsi="Traditional Arabic" w:cs="Traditional Arabic"/>
          <w:sz w:val="32"/>
          <w:szCs w:val="32"/>
          <w:rtl/>
          <w:lang w:bidi="ar-EG"/>
        </w:rPr>
        <w:t>٪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فقط من المطبوعات يتم توفيرها بوسائل ميسرة لذوي الإعاقة البصرية في الدول المتقدمة</w:t>
      </w:r>
      <w:r w:rsidR="0072658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وتقل هذه النسبة بكثير في 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دول 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النامية وفي 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المنطقة العربية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بما 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لا 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ي</w:t>
      </w:r>
      <w:r w:rsidR="007E23EC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تجاوز</w:t>
      </w:r>
      <w:r w:rsidR="0080388F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60102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نسبة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2</w:t>
      </w:r>
      <w:r w:rsidR="00A64D74" w:rsidRPr="00A64D74">
        <w:rPr>
          <w:rFonts w:ascii="Traditional Arabic" w:hAnsi="Traditional Arabic" w:cs="Traditional Arabic"/>
          <w:sz w:val="32"/>
          <w:szCs w:val="32"/>
          <w:rtl/>
          <w:lang w:bidi="ar-EG"/>
        </w:rPr>
        <w:t>٪</w:t>
      </w:r>
      <w:r w:rsidR="001E1F6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</w:p>
    <w:p w:rsidR="007D2E5B" w:rsidRDefault="0080388F" w:rsidP="00C660B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لكل ما سبق</w:t>
      </w:r>
      <w:r w:rsidR="004C398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يتقدم المجتمعو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ن بمؤتمر </w:t>
      </w:r>
      <w:r w:rsidR="004C3988">
        <w:rPr>
          <w:rFonts w:ascii="Traditional Arabic" w:hAnsi="Traditional Arabic" w:cs="Traditional Arabic"/>
          <w:sz w:val="32"/>
          <w:szCs w:val="32"/>
          <w:rtl/>
          <w:lang w:bidi="ar-EG"/>
        </w:rPr>
        <w:t>«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نحو تصديق مصر على معاهدة مراكش</w:t>
      </w:r>
      <w:r w:rsidR="004C3988">
        <w:rPr>
          <w:rFonts w:ascii="Traditional Arabic" w:hAnsi="Traditional Arabic" w:cs="Traditional Arabic"/>
          <w:sz w:val="32"/>
          <w:szCs w:val="32"/>
          <w:rtl/>
          <w:lang w:bidi="ar-EG"/>
        </w:rPr>
        <w:t>»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نظمه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الاتحاد </w:t>
      </w:r>
      <w:r w:rsidR="00FC03D8" w:rsidRPr="00FC03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الدولي</w:t>
      </w:r>
      <w:r w:rsidR="00FC03D8" w:rsidRPr="00FC03D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FC03D8" w:rsidRPr="00FC03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لجمعيات</w:t>
      </w:r>
      <w:r w:rsidR="00F32CC2">
        <w:rPr>
          <w:rFonts w:ascii="Traditional Arabic" w:hAnsi="Traditional Arabic" w:cs="Traditional Arabic"/>
          <w:sz w:val="32"/>
          <w:szCs w:val="32"/>
          <w:lang w:bidi="ar-EG"/>
        </w:rPr>
        <w:t xml:space="preserve"> </w:t>
      </w:r>
      <w:r w:rsidR="00FC03D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مؤسسات المكتبات</w:t>
      </w:r>
      <w:r w:rsidR="00E947D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تحاد العالمي للمكفوفين</w:t>
      </w:r>
      <w:r w:rsidR="00E947D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ومكتبة الإسكندرية</w:t>
      </w:r>
      <w:r w:rsidR="00E947D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بمناشدة إلى ا</w:t>
      </w:r>
      <w:r w:rsidR="009909D7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لقيادة السياسية في مصر،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360102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الإسراع في </w:t>
      </w:r>
      <w:r w:rsidR="00360102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اتخاذ </w:t>
      </w:r>
      <w:r w:rsidR="002D0B86" w:rsidRPr="00D450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الإجراءات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الدستورية اللازمة لتصديق مصر على </w:t>
      </w:r>
      <w:r w:rsidR="007972B6">
        <w:rPr>
          <w:rFonts w:ascii="Traditional Arabic" w:hAnsi="Traditional Arabic" w:cs="Traditional Arabic"/>
          <w:sz w:val="32"/>
          <w:szCs w:val="32"/>
          <w:rtl/>
          <w:lang w:bidi="ar-EG"/>
        </w:rPr>
        <w:t>«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معاهدة مراكش لتيسير النفاذ إلى المصنفات المنشورة لفائدة الأشخاص </w:t>
      </w:r>
      <w:r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المكفوفين أو معاقي البصر أو ذوي</w:t>
      </w:r>
      <w:r w:rsidR="00E54946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إعاقات أخر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ى </w:t>
      </w:r>
      <w:r w:rsidR="0050585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في 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قراءة المطبوعات</w:t>
      </w:r>
      <w:r w:rsidR="007972B6">
        <w:rPr>
          <w:rFonts w:ascii="Traditional Arabic" w:hAnsi="Traditional Arabic" w:cs="Traditional Arabic"/>
          <w:sz w:val="32"/>
          <w:szCs w:val="32"/>
          <w:rtl/>
          <w:lang w:bidi="ar-EG"/>
        </w:rPr>
        <w:t>»</w:t>
      </w:r>
      <w:r w:rsidR="007972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="0000119D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دعم</w:t>
      </w:r>
      <w:r w:rsidR="007972B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ً</w:t>
      </w:r>
      <w:r w:rsidR="00E10129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 </w:t>
      </w:r>
      <w:r w:rsidR="0000119D" w:rsidRPr="00D45056">
        <w:rPr>
          <w:rFonts w:ascii="Traditional Arabic" w:hAnsi="Traditional Arabic" w:cs="Traditional Arabic"/>
          <w:sz w:val="32"/>
          <w:szCs w:val="32"/>
          <w:rtl/>
          <w:lang w:bidi="ar-EG"/>
        </w:rPr>
        <w:t>لملايين المكفوفين في مصر والمنطقة العربية.</w:t>
      </w:r>
    </w:p>
    <w:p w:rsidR="00254C2F" w:rsidRDefault="00254C2F" w:rsidP="00C660B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FF742B" w:rsidRPr="00D45056" w:rsidRDefault="00FF742B" w:rsidP="00C660B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الإسكندرية،</w:t>
      </w:r>
      <w:r w:rsidR="007A1E7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في 12 فبراير 2017.</w:t>
      </w:r>
    </w:p>
    <w:p w:rsidR="007D2E5B" w:rsidRPr="00D45056" w:rsidRDefault="007D2E5B" w:rsidP="00C660BF">
      <w:pPr>
        <w:bidi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7D2E5B" w:rsidRPr="00D450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4B" w:rsidRDefault="000D234B" w:rsidP="003E6153">
      <w:pPr>
        <w:spacing w:after="0" w:line="240" w:lineRule="auto"/>
      </w:pPr>
      <w:r>
        <w:separator/>
      </w:r>
    </w:p>
  </w:endnote>
  <w:endnote w:type="continuationSeparator" w:id="0">
    <w:p w:rsidR="000D234B" w:rsidRDefault="000D234B" w:rsidP="003E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4B" w:rsidRDefault="000D234B" w:rsidP="003E6153">
      <w:pPr>
        <w:spacing w:after="0" w:line="240" w:lineRule="auto"/>
      </w:pPr>
      <w:r>
        <w:separator/>
      </w:r>
    </w:p>
  </w:footnote>
  <w:footnote w:type="continuationSeparator" w:id="0">
    <w:p w:rsidR="000D234B" w:rsidRDefault="000D234B" w:rsidP="003E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470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7E4A" w:rsidRDefault="00C77E4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153" w:rsidRDefault="003E6153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rine Emara">
    <w15:presenceInfo w15:providerId="Windows Live" w15:userId="11f6e00ce7471a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3"/>
    <w:rsid w:val="0000119D"/>
    <w:rsid w:val="000D234B"/>
    <w:rsid w:val="000D687E"/>
    <w:rsid w:val="00114695"/>
    <w:rsid w:val="00137DE7"/>
    <w:rsid w:val="00191E31"/>
    <w:rsid w:val="001A5AF0"/>
    <w:rsid w:val="001D1E6A"/>
    <w:rsid w:val="001E0FB8"/>
    <w:rsid w:val="001E1F6D"/>
    <w:rsid w:val="0020062D"/>
    <w:rsid w:val="00211E3A"/>
    <w:rsid w:val="00222492"/>
    <w:rsid w:val="0022660B"/>
    <w:rsid w:val="00254C2F"/>
    <w:rsid w:val="00261A99"/>
    <w:rsid w:val="002625EB"/>
    <w:rsid w:val="00285DE1"/>
    <w:rsid w:val="002D0B86"/>
    <w:rsid w:val="002E1660"/>
    <w:rsid w:val="002E2ED8"/>
    <w:rsid w:val="00303309"/>
    <w:rsid w:val="003241E9"/>
    <w:rsid w:val="003333E6"/>
    <w:rsid w:val="00354D99"/>
    <w:rsid w:val="00357F13"/>
    <w:rsid w:val="00360102"/>
    <w:rsid w:val="00366430"/>
    <w:rsid w:val="00395E53"/>
    <w:rsid w:val="003B6320"/>
    <w:rsid w:val="003E6153"/>
    <w:rsid w:val="004200CD"/>
    <w:rsid w:val="004C3988"/>
    <w:rsid w:val="004D4F18"/>
    <w:rsid w:val="004D6879"/>
    <w:rsid w:val="00505853"/>
    <w:rsid w:val="00534872"/>
    <w:rsid w:val="005B0D00"/>
    <w:rsid w:val="005D2FE9"/>
    <w:rsid w:val="00641027"/>
    <w:rsid w:val="006814A2"/>
    <w:rsid w:val="00692778"/>
    <w:rsid w:val="006E0CA8"/>
    <w:rsid w:val="00726587"/>
    <w:rsid w:val="00755ED5"/>
    <w:rsid w:val="00791639"/>
    <w:rsid w:val="007972B6"/>
    <w:rsid w:val="007A1E72"/>
    <w:rsid w:val="007B4915"/>
    <w:rsid w:val="007C2848"/>
    <w:rsid w:val="007D2E5B"/>
    <w:rsid w:val="007D63FF"/>
    <w:rsid w:val="007E23EC"/>
    <w:rsid w:val="0080388F"/>
    <w:rsid w:val="00811C24"/>
    <w:rsid w:val="008125C9"/>
    <w:rsid w:val="008641DB"/>
    <w:rsid w:val="008A10B0"/>
    <w:rsid w:val="0090373F"/>
    <w:rsid w:val="009909D7"/>
    <w:rsid w:val="009B3A69"/>
    <w:rsid w:val="00A64D74"/>
    <w:rsid w:val="00A91157"/>
    <w:rsid w:val="00AA60AF"/>
    <w:rsid w:val="00AD2695"/>
    <w:rsid w:val="00B060D0"/>
    <w:rsid w:val="00BE0FBE"/>
    <w:rsid w:val="00C00CCA"/>
    <w:rsid w:val="00C20975"/>
    <w:rsid w:val="00C46732"/>
    <w:rsid w:val="00C660BF"/>
    <w:rsid w:val="00C77E4A"/>
    <w:rsid w:val="00CE6F7F"/>
    <w:rsid w:val="00D15E80"/>
    <w:rsid w:val="00D45056"/>
    <w:rsid w:val="00DF7A1E"/>
    <w:rsid w:val="00E0263E"/>
    <w:rsid w:val="00E10129"/>
    <w:rsid w:val="00E24045"/>
    <w:rsid w:val="00E54946"/>
    <w:rsid w:val="00E557A0"/>
    <w:rsid w:val="00E947DD"/>
    <w:rsid w:val="00F035DC"/>
    <w:rsid w:val="00F24569"/>
    <w:rsid w:val="00F32CC2"/>
    <w:rsid w:val="00F6747E"/>
    <w:rsid w:val="00FC03D8"/>
    <w:rsid w:val="00FE140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53"/>
  </w:style>
  <w:style w:type="paragraph" w:styleId="Footer">
    <w:name w:val="footer"/>
    <w:basedOn w:val="Normal"/>
    <w:link w:val="FooterChar"/>
    <w:uiPriority w:val="99"/>
    <w:unhideWhenUsed/>
    <w:rsid w:val="003E6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53"/>
  </w:style>
  <w:style w:type="paragraph" w:styleId="BalloonText">
    <w:name w:val="Balloon Text"/>
    <w:basedOn w:val="Normal"/>
    <w:link w:val="BalloonTextChar"/>
    <w:uiPriority w:val="99"/>
    <w:semiHidden/>
    <w:unhideWhenUsed/>
    <w:rsid w:val="00D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53"/>
  </w:style>
  <w:style w:type="paragraph" w:styleId="Footer">
    <w:name w:val="footer"/>
    <w:basedOn w:val="Normal"/>
    <w:link w:val="FooterChar"/>
    <w:uiPriority w:val="99"/>
    <w:unhideWhenUsed/>
    <w:rsid w:val="003E6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53"/>
  </w:style>
  <w:style w:type="paragraph" w:styleId="BalloonText">
    <w:name w:val="Balloon Text"/>
    <w:basedOn w:val="Normal"/>
    <w:link w:val="BalloonTextChar"/>
    <w:uiPriority w:val="99"/>
    <w:semiHidden/>
    <w:unhideWhenUsed/>
    <w:rsid w:val="00D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Windows User</cp:lastModifiedBy>
  <cp:revision>3</cp:revision>
  <dcterms:created xsi:type="dcterms:W3CDTF">2017-03-26T10:35:00Z</dcterms:created>
  <dcterms:modified xsi:type="dcterms:W3CDTF">2017-03-26T10:37:00Z</dcterms:modified>
</cp:coreProperties>
</file>