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C26D" w14:textId="0AF23607" w:rsidR="000317CB" w:rsidRPr="00BA3EC9" w:rsidRDefault="000317CB" w:rsidP="00494BE9">
      <w:pPr>
        <w:spacing w:after="0" w:line="240" w:lineRule="auto"/>
        <w:jc w:val="both"/>
        <w:rPr>
          <w:rFonts w:ascii="Univers" w:eastAsia="Times New Roman" w:hAnsi="Univers" w:cs="Times New Roman"/>
          <w:sz w:val="24"/>
          <w:szCs w:val="24"/>
          <w:lang w:val="fr-FR" w:eastAsia="en-NL"/>
        </w:rPr>
      </w:pPr>
      <w:r w:rsidRPr="00BA3EC9">
        <w:rPr>
          <w:rFonts w:ascii="Univers" w:eastAsia="Times New Roman" w:hAnsi="Univers" w:cs="Times New Roman"/>
          <w:noProof/>
          <w:sz w:val="24"/>
          <w:szCs w:val="24"/>
          <w:lang w:val="fr-FR" w:eastAsia="en-NL"/>
        </w:rPr>
        <w:drawing>
          <wp:inline distT="0" distB="0" distL="0" distR="0" wp14:anchorId="090F5B06" wp14:editId="3B207196">
            <wp:extent cx="3041711" cy="895187"/>
            <wp:effectExtent l="0" t="0" r="6350"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041711" cy="895187"/>
                    </a:xfrm>
                    <a:prstGeom prst="rect">
                      <a:avLst/>
                    </a:prstGeom>
                  </pic:spPr>
                </pic:pic>
              </a:graphicData>
            </a:graphic>
          </wp:inline>
        </w:drawing>
      </w:r>
    </w:p>
    <w:p w14:paraId="1F888714" w14:textId="77777777" w:rsidR="000317CB" w:rsidRPr="00BA3EC9" w:rsidRDefault="000317CB" w:rsidP="00494BE9">
      <w:pPr>
        <w:spacing w:after="0" w:line="240" w:lineRule="auto"/>
        <w:jc w:val="both"/>
        <w:rPr>
          <w:rFonts w:ascii="Univers Condensed" w:eastAsia="Times New Roman" w:hAnsi="Univers Condensed" w:cs="Times New Roman"/>
          <w:sz w:val="40"/>
          <w:szCs w:val="40"/>
          <w:lang w:val="fr-FR" w:eastAsia="en-NL"/>
        </w:rPr>
      </w:pPr>
    </w:p>
    <w:p w14:paraId="262BFC48" w14:textId="29E1AC5A" w:rsidR="00494BE9" w:rsidRPr="00BA3EC9" w:rsidRDefault="000317CB" w:rsidP="00494BE9">
      <w:pPr>
        <w:spacing w:after="0" w:line="240" w:lineRule="auto"/>
        <w:jc w:val="both"/>
        <w:rPr>
          <w:rFonts w:ascii="Univers Condensed" w:eastAsia="Times New Roman" w:hAnsi="Univers Condensed" w:cs="Times New Roman"/>
          <w:b/>
          <w:bCs/>
          <w:sz w:val="40"/>
          <w:szCs w:val="40"/>
          <w:lang w:val="fr-FR" w:eastAsia="en-NL"/>
        </w:rPr>
      </w:pPr>
      <w:r w:rsidRPr="00BA3EC9">
        <w:rPr>
          <w:rFonts w:ascii="Univers Condensed" w:eastAsia="Times New Roman" w:hAnsi="Univers Condensed" w:cs="Times New Roman"/>
          <w:b/>
          <w:bCs/>
          <w:sz w:val="40"/>
          <w:szCs w:val="40"/>
          <w:lang w:val="fr-FR" w:eastAsia="en-NL"/>
        </w:rPr>
        <w:t xml:space="preserve">Déclaration d’IFLA sur le </w:t>
      </w:r>
      <w:r w:rsidRPr="00494BE9">
        <w:rPr>
          <w:rFonts w:ascii="Univers Condensed" w:eastAsia="Times New Roman" w:hAnsi="Univers Condensed" w:cs="Times New Roman"/>
          <w:b/>
          <w:bCs/>
          <w:sz w:val="40"/>
          <w:szCs w:val="40"/>
          <w:lang w:val="fr-FR" w:eastAsia="en-NL"/>
        </w:rPr>
        <w:t>Prêt Numérique Contrôlé</w:t>
      </w:r>
    </w:p>
    <w:p w14:paraId="0E4F400E" w14:textId="77777777" w:rsidR="000317CB" w:rsidRPr="00BA3EC9" w:rsidRDefault="000317CB" w:rsidP="00494BE9">
      <w:pPr>
        <w:spacing w:after="0" w:line="240" w:lineRule="auto"/>
        <w:jc w:val="both"/>
        <w:rPr>
          <w:rFonts w:ascii="Univers" w:eastAsia="Times New Roman" w:hAnsi="Univers" w:cs="Times New Roman"/>
          <w:sz w:val="24"/>
          <w:szCs w:val="24"/>
          <w:lang w:val="fr-FR" w:eastAsia="en-NL"/>
        </w:rPr>
      </w:pPr>
    </w:p>
    <w:p w14:paraId="73A9C1FC" w14:textId="136C037C" w:rsidR="00BA3EC9" w:rsidRDefault="00494BE9" w:rsidP="00494BE9">
      <w:pPr>
        <w:spacing w:after="0" w:line="240" w:lineRule="auto"/>
        <w:jc w:val="both"/>
        <w:rPr>
          <w:rFonts w:ascii="Univers" w:eastAsia="Times New Roman" w:hAnsi="Univers" w:cs="Times New Roman"/>
          <w:sz w:val="24"/>
          <w:szCs w:val="24"/>
          <w:lang w:val="fr-FR" w:eastAsia="en-NL"/>
        </w:rPr>
      </w:pPr>
      <w:r w:rsidRPr="00494BE9">
        <w:rPr>
          <w:rFonts w:ascii="Univers" w:eastAsia="Times New Roman" w:hAnsi="Univers" w:cs="Times New Roman"/>
          <w:sz w:val="24"/>
          <w:szCs w:val="24"/>
          <w:lang w:val="fr-FR" w:eastAsia="en-NL"/>
        </w:rPr>
        <w:t>Le Prêt Numérique Contrôlé (</w:t>
      </w:r>
      <w:r w:rsidR="00BA3EC9">
        <w:rPr>
          <w:rFonts w:ascii="Univers" w:eastAsia="Times New Roman" w:hAnsi="Univers" w:cs="Times New Roman"/>
          <w:sz w:val="24"/>
          <w:szCs w:val="24"/>
          <w:lang w:val="fr-FR" w:eastAsia="en-NL"/>
        </w:rPr>
        <w:t xml:space="preserve">PNC, traduit de l’anglais </w:t>
      </w:r>
      <w:r w:rsidR="00E8525B">
        <w:rPr>
          <w:rFonts w:ascii="Univers" w:eastAsia="Times New Roman" w:hAnsi="Univers" w:cs="Times New Roman"/>
          <w:sz w:val="24"/>
          <w:szCs w:val="24"/>
          <w:lang w:val="fr-FR" w:eastAsia="en-NL"/>
        </w:rPr>
        <w:t>« </w:t>
      </w:r>
      <w:proofErr w:type="spellStart"/>
      <w:r w:rsidRPr="00494BE9">
        <w:rPr>
          <w:rFonts w:ascii="Univers" w:eastAsia="Times New Roman" w:hAnsi="Univers" w:cs="Times New Roman"/>
          <w:sz w:val="24"/>
          <w:szCs w:val="24"/>
          <w:lang w:val="fr-FR" w:eastAsia="en-NL"/>
        </w:rPr>
        <w:t>C</w:t>
      </w:r>
      <w:r w:rsidRPr="00BA3EC9">
        <w:rPr>
          <w:rFonts w:ascii="Univers" w:eastAsia="Times New Roman" w:hAnsi="Univers" w:cs="Times New Roman"/>
          <w:sz w:val="24"/>
          <w:szCs w:val="24"/>
          <w:lang w:val="fr-FR" w:eastAsia="en-NL"/>
        </w:rPr>
        <w:t>ontrolled</w:t>
      </w:r>
      <w:proofErr w:type="spellEnd"/>
      <w:r w:rsidRPr="00BA3EC9">
        <w:rPr>
          <w:rFonts w:ascii="Univers" w:eastAsia="Times New Roman" w:hAnsi="Univers" w:cs="Times New Roman"/>
          <w:sz w:val="24"/>
          <w:szCs w:val="24"/>
          <w:lang w:val="fr-FR" w:eastAsia="en-NL"/>
        </w:rPr>
        <w:t xml:space="preserve"> Digital </w:t>
      </w:r>
      <w:proofErr w:type="spellStart"/>
      <w:r w:rsidRPr="00BA3EC9">
        <w:rPr>
          <w:rFonts w:ascii="Univers" w:eastAsia="Times New Roman" w:hAnsi="Univers" w:cs="Times New Roman"/>
          <w:sz w:val="24"/>
          <w:szCs w:val="24"/>
          <w:lang w:val="fr-FR" w:eastAsia="en-NL"/>
        </w:rPr>
        <w:t>Lendin</w:t>
      </w:r>
      <w:proofErr w:type="spellEnd"/>
      <w:r w:rsidR="00E8525B">
        <w:rPr>
          <w:rFonts w:ascii="Univers" w:eastAsia="Times New Roman" w:hAnsi="Univers" w:cs="Times New Roman"/>
          <w:sz w:val="24"/>
          <w:szCs w:val="24"/>
          <w:lang w:val="fr-FR" w:eastAsia="en-NL"/>
        </w:rPr>
        <w:t xml:space="preserve"> » </w:t>
      </w:r>
      <w:r w:rsidRPr="00BA3EC9">
        <w:rPr>
          <w:rFonts w:ascii="Univers" w:eastAsia="Times New Roman" w:hAnsi="Univers" w:cs="Times New Roman"/>
          <w:sz w:val="24"/>
          <w:szCs w:val="24"/>
          <w:lang w:val="fr-FR" w:eastAsia="en-NL"/>
        </w:rPr>
        <w:t>- C</w:t>
      </w:r>
      <w:r w:rsidRPr="00494BE9">
        <w:rPr>
          <w:rFonts w:ascii="Univers" w:eastAsia="Times New Roman" w:hAnsi="Univers" w:cs="Times New Roman"/>
          <w:sz w:val="24"/>
          <w:szCs w:val="24"/>
          <w:lang w:val="fr-FR" w:eastAsia="en-NL"/>
        </w:rPr>
        <w:t xml:space="preserve">DL) a fait </w:t>
      </w:r>
      <w:r w:rsidR="00315444">
        <w:rPr>
          <w:rFonts w:ascii="Univers" w:eastAsia="Times New Roman" w:hAnsi="Univers" w:cs="Times New Roman"/>
          <w:sz w:val="24"/>
          <w:szCs w:val="24"/>
          <w:lang w:val="fr-FR" w:eastAsia="en-NL"/>
        </w:rPr>
        <w:t>couler beaucoup d’encre</w:t>
      </w:r>
      <w:r w:rsidRPr="00494BE9">
        <w:rPr>
          <w:rFonts w:ascii="Univers" w:eastAsia="Times New Roman" w:hAnsi="Univers" w:cs="Times New Roman"/>
          <w:sz w:val="24"/>
          <w:szCs w:val="24"/>
          <w:lang w:val="fr-FR" w:eastAsia="en-NL"/>
        </w:rPr>
        <w:t xml:space="preserve"> au cours des deux dernières années, et en particulier dans le contexte de la pandémie de COVID-19. Alors que le terme spécifique n'est utilisé que relativement récemment, des formes de prêt contrôlé sont utilisées</w:t>
      </w:r>
      <w:r w:rsidR="00315444">
        <w:rPr>
          <w:rStyle w:val="FootnoteReference"/>
          <w:rFonts w:ascii="Univers" w:eastAsia="Times New Roman" w:hAnsi="Univers" w:cs="Times New Roman"/>
          <w:sz w:val="24"/>
          <w:szCs w:val="24"/>
          <w:lang w:val="fr-FR" w:eastAsia="en-NL"/>
        </w:rPr>
        <w:footnoteReference w:id="1"/>
      </w:r>
      <w:r w:rsidRPr="00494BE9">
        <w:rPr>
          <w:rFonts w:ascii="Univers" w:eastAsia="Times New Roman" w:hAnsi="Univers" w:cs="Times New Roman"/>
          <w:sz w:val="24"/>
          <w:szCs w:val="24"/>
          <w:lang w:val="fr-FR" w:eastAsia="en-NL"/>
        </w:rPr>
        <w:t xml:space="preserve"> depuis de nombreuses années, par exemple dans le contexte d</w:t>
      </w:r>
      <w:r w:rsidR="00E8525B">
        <w:rPr>
          <w:rFonts w:ascii="Univers" w:eastAsia="Times New Roman" w:hAnsi="Univers" w:cs="Times New Roman"/>
          <w:sz w:val="24"/>
          <w:szCs w:val="24"/>
          <w:lang w:val="fr-FR" w:eastAsia="en-NL"/>
        </w:rPr>
        <w:t xml:space="preserve">u partage </w:t>
      </w:r>
      <w:r w:rsidRPr="00494BE9">
        <w:rPr>
          <w:rFonts w:ascii="Univers" w:eastAsia="Times New Roman" w:hAnsi="Univers" w:cs="Times New Roman"/>
          <w:sz w:val="24"/>
          <w:szCs w:val="24"/>
          <w:lang w:val="fr-FR" w:eastAsia="en-NL"/>
        </w:rPr>
        <w:t xml:space="preserve">de documents. En tant que tel, le prêt contrôlé a aidé à remplir la mission des bibliothèques </w:t>
      </w:r>
      <w:r w:rsidR="00E8525B">
        <w:rPr>
          <w:rFonts w:ascii="Univers" w:eastAsia="Times New Roman" w:hAnsi="Univers" w:cs="Times New Roman"/>
          <w:sz w:val="24"/>
          <w:szCs w:val="24"/>
          <w:lang w:val="fr-FR" w:eastAsia="en-NL"/>
        </w:rPr>
        <w:t>en soutenant</w:t>
      </w:r>
      <w:r w:rsidRPr="00494BE9">
        <w:rPr>
          <w:rFonts w:ascii="Univers" w:eastAsia="Times New Roman" w:hAnsi="Univers" w:cs="Times New Roman"/>
          <w:sz w:val="24"/>
          <w:szCs w:val="24"/>
          <w:lang w:val="fr-FR" w:eastAsia="en-NL"/>
        </w:rPr>
        <w:t xml:space="preserve"> la recherche, l'éducation et la participation culturelle dans les limites des lois existantes sur le droit d'auteur. </w:t>
      </w:r>
    </w:p>
    <w:p w14:paraId="28FB8FF1" w14:textId="77777777" w:rsidR="00BA3EC9" w:rsidRDefault="00BA3EC9" w:rsidP="00494BE9">
      <w:pPr>
        <w:spacing w:after="0" w:line="240" w:lineRule="auto"/>
        <w:jc w:val="both"/>
        <w:rPr>
          <w:rFonts w:ascii="Univers" w:eastAsia="Times New Roman" w:hAnsi="Univers" w:cs="Times New Roman"/>
          <w:sz w:val="24"/>
          <w:szCs w:val="24"/>
          <w:lang w:val="fr-FR" w:eastAsia="en-NL"/>
        </w:rPr>
      </w:pPr>
    </w:p>
    <w:p w14:paraId="57B9EF18" w14:textId="0F491CBE" w:rsidR="00BA3EC9" w:rsidRDefault="00494BE9" w:rsidP="00494BE9">
      <w:pPr>
        <w:spacing w:after="0" w:line="240" w:lineRule="auto"/>
        <w:jc w:val="both"/>
        <w:rPr>
          <w:rFonts w:ascii="Univers" w:eastAsia="Times New Roman" w:hAnsi="Univers" w:cs="Times New Roman"/>
          <w:sz w:val="24"/>
          <w:szCs w:val="24"/>
          <w:lang w:val="fr-FR" w:eastAsia="en-NL"/>
        </w:rPr>
      </w:pPr>
      <w:r w:rsidRPr="00494BE9">
        <w:rPr>
          <w:rFonts w:ascii="Univers" w:eastAsia="Times New Roman" w:hAnsi="Univers" w:cs="Times New Roman"/>
          <w:sz w:val="24"/>
          <w:szCs w:val="24"/>
          <w:lang w:val="fr-FR" w:eastAsia="en-NL"/>
        </w:rPr>
        <w:t>Les livres électroniques sous licence ont ouvert la porte à une atteinte radicale aux fonctions traditionnelles d'intérêt public et aux libertés des bibliothèques. Ce</w:t>
      </w:r>
      <w:r w:rsidR="00E8525B">
        <w:rPr>
          <w:rFonts w:ascii="Univers" w:eastAsia="Times New Roman" w:hAnsi="Univers" w:cs="Times New Roman"/>
          <w:sz w:val="24"/>
          <w:szCs w:val="24"/>
          <w:lang w:val="fr-FR" w:eastAsia="en-NL"/>
        </w:rPr>
        <w:t>lles</w:t>
      </w:r>
      <w:r w:rsidRPr="00494BE9">
        <w:rPr>
          <w:rFonts w:ascii="Univers" w:eastAsia="Times New Roman" w:hAnsi="Univers" w:cs="Times New Roman"/>
          <w:sz w:val="24"/>
          <w:szCs w:val="24"/>
          <w:lang w:val="fr-FR" w:eastAsia="en-NL"/>
        </w:rPr>
        <w:t xml:space="preserve">-ci existent toujours pour les livres papier, mais avec l'avènement des livres électroniques sous licence, les bibliothèques ne sont plus libres de décider quand et quoi acheter, certains éditeurs refusant même de vendre aux bibliothèques. Le prêt numérique contrôlé offre une alternative à une approche de licence, et donc un moyen de rétablir l'équilibre. </w:t>
      </w:r>
    </w:p>
    <w:p w14:paraId="59D320F9" w14:textId="77777777" w:rsidR="00BA3EC9" w:rsidRDefault="00BA3EC9" w:rsidP="00494BE9">
      <w:pPr>
        <w:spacing w:after="0" w:line="240" w:lineRule="auto"/>
        <w:jc w:val="both"/>
        <w:rPr>
          <w:rFonts w:ascii="Univers" w:eastAsia="Times New Roman" w:hAnsi="Univers" w:cs="Times New Roman"/>
          <w:sz w:val="24"/>
          <w:szCs w:val="24"/>
          <w:lang w:val="fr-FR" w:eastAsia="en-NL"/>
        </w:rPr>
      </w:pPr>
    </w:p>
    <w:p w14:paraId="55F61594" w14:textId="48843016" w:rsidR="00494BE9" w:rsidRPr="00BA3EC9" w:rsidRDefault="00494BE9" w:rsidP="00494BE9">
      <w:pPr>
        <w:spacing w:after="0" w:line="240" w:lineRule="auto"/>
        <w:jc w:val="both"/>
        <w:rPr>
          <w:rFonts w:ascii="Univers" w:eastAsia="Times New Roman" w:hAnsi="Univers" w:cs="Times New Roman"/>
          <w:sz w:val="24"/>
          <w:szCs w:val="24"/>
          <w:lang w:val="en-NL" w:eastAsia="en-NL"/>
        </w:rPr>
      </w:pPr>
      <w:r w:rsidRPr="00494BE9">
        <w:rPr>
          <w:rFonts w:ascii="Univers" w:eastAsia="Times New Roman" w:hAnsi="Univers" w:cs="Times New Roman"/>
          <w:sz w:val="24"/>
          <w:szCs w:val="24"/>
          <w:lang w:val="fr-FR" w:eastAsia="en-NL"/>
        </w:rPr>
        <w:t xml:space="preserve">Ce document fournit des informations générales sur ce qu'est le </w:t>
      </w:r>
      <w:r w:rsidR="004C5F34" w:rsidRPr="00494BE9">
        <w:rPr>
          <w:rFonts w:ascii="Univers" w:eastAsia="Times New Roman" w:hAnsi="Univers" w:cs="Times New Roman"/>
          <w:sz w:val="24"/>
          <w:szCs w:val="24"/>
          <w:lang w:val="fr-FR" w:eastAsia="en-NL"/>
        </w:rPr>
        <w:t>Prêt Numérique Contrôlé</w:t>
      </w:r>
      <w:r w:rsidRPr="00494BE9">
        <w:rPr>
          <w:rFonts w:ascii="Univers" w:eastAsia="Times New Roman" w:hAnsi="Univers" w:cs="Times New Roman"/>
          <w:sz w:val="24"/>
          <w:szCs w:val="24"/>
          <w:lang w:val="fr-FR" w:eastAsia="en-NL"/>
        </w:rPr>
        <w:t xml:space="preserve"> et fournit un argumentaire économique et juridique pour que toutes les bibliothèques et leurs utilisateur</w:t>
      </w:r>
      <w:r w:rsidR="00FE4E0F" w:rsidRPr="00FE4E0F">
        <w:rPr>
          <w:rFonts w:ascii="Univers" w:eastAsia="Times New Roman" w:hAnsi="Univers" w:cs="Calibri Light"/>
          <w:sz w:val="24"/>
          <w:szCs w:val="24"/>
          <w:lang w:val="fr-FR" w:eastAsia="en-NL"/>
        </w:rPr>
        <w:t>s et utilisatrices</w:t>
      </w:r>
      <w:r w:rsidR="00FE4E0F">
        <w:rPr>
          <w:rFonts w:ascii="Calibri Light" w:eastAsia="Times New Roman" w:hAnsi="Calibri Light" w:cs="Calibri Light"/>
          <w:sz w:val="24"/>
          <w:szCs w:val="24"/>
          <w:lang w:val="fr-FR" w:eastAsia="en-NL"/>
        </w:rPr>
        <w:t xml:space="preserve"> </w:t>
      </w:r>
      <w:r w:rsidRPr="00494BE9">
        <w:rPr>
          <w:rFonts w:ascii="Univers" w:eastAsia="Times New Roman" w:hAnsi="Univers" w:cs="Times New Roman"/>
          <w:sz w:val="24"/>
          <w:szCs w:val="24"/>
          <w:lang w:val="fr-FR" w:eastAsia="en-NL"/>
        </w:rPr>
        <w:t xml:space="preserve">puissent bénéficier de </w:t>
      </w:r>
      <w:r w:rsidR="00CD1C7B">
        <w:rPr>
          <w:rFonts w:ascii="Univers" w:eastAsia="Times New Roman" w:hAnsi="Univers" w:cs="Times New Roman"/>
          <w:sz w:val="24"/>
          <w:szCs w:val="24"/>
          <w:lang w:val="fr-FR" w:eastAsia="en-NL"/>
        </w:rPr>
        <w:t xml:space="preserve">cette </w:t>
      </w:r>
      <w:r w:rsidRPr="00494BE9">
        <w:rPr>
          <w:rFonts w:ascii="Univers" w:eastAsia="Times New Roman" w:hAnsi="Univers" w:cs="Times New Roman"/>
          <w:sz w:val="24"/>
          <w:szCs w:val="24"/>
          <w:lang w:val="fr-FR" w:eastAsia="en-NL"/>
        </w:rPr>
        <w:t>approche. Les associations de bibliothèques et les bibliothèques de chaque pays et région devront tenir compte de leur environnement politique particulier.</w:t>
      </w:r>
      <w:r w:rsidRPr="00494BE9">
        <w:rPr>
          <w:rFonts w:ascii="Univers" w:eastAsia="Times New Roman" w:hAnsi="Univers" w:cs="Times New Roman"/>
          <w:sz w:val="24"/>
          <w:szCs w:val="24"/>
          <w:lang w:val="en-NL" w:eastAsia="en-NL"/>
        </w:rPr>
        <w:t xml:space="preserve"> </w:t>
      </w:r>
    </w:p>
    <w:p w14:paraId="453BC851" w14:textId="3BC75F45" w:rsidR="00494BE9" w:rsidRPr="00BA3EC9" w:rsidRDefault="00494BE9" w:rsidP="00494BE9">
      <w:pPr>
        <w:spacing w:after="0" w:line="240" w:lineRule="auto"/>
        <w:jc w:val="both"/>
        <w:rPr>
          <w:rFonts w:ascii="Univers" w:eastAsia="Times New Roman" w:hAnsi="Univers" w:cs="Times New Roman"/>
          <w:sz w:val="24"/>
          <w:szCs w:val="24"/>
          <w:lang w:val="en-NL" w:eastAsia="en-NL"/>
        </w:rPr>
      </w:pPr>
    </w:p>
    <w:p w14:paraId="6C42891D" w14:textId="6274978B" w:rsidR="00494BE9" w:rsidRPr="00BA3EC9" w:rsidRDefault="00494BE9" w:rsidP="00494BE9">
      <w:pPr>
        <w:spacing w:after="0" w:line="240" w:lineRule="auto"/>
        <w:jc w:val="both"/>
        <w:rPr>
          <w:rStyle w:val="jlqj4b"/>
          <w:rFonts w:ascii="Univers" w:hAnsi="Univers"/>
          <w:b/>
          <w:bCs/>
          <w:sz w:val="24"/>
          <w:szCs w:val="24"/>
          <w:lang w:val="fr-FR"/>
        </w:rPr>
      </w:pPr>
      <w:r w:rsidRPr="00BA3EC9">
        <w:rPr>
          <w:rStyle w:val="jlqj4b"/>
          <w:rFonts w:ascii="Univers" w:hAnsi="Univers"/>
          <w:b/>
          <w:bCs/>
          <w:sz w:val="24"/>
          <w:szCs w:val="24"/>
          <w:lang w:val="fr-FR"/>
        </w:rPr>
        <w:t xml:space="preserve">Qu'est-ce que le </w:t>
      </w:r>
      <w:r w:rsidRPr="00BA3EC9">
        <w:rPr>
          <w:rStyle w:val="jlqj4b"/>
          <w:rFonts w:ascii="Univers" w:hAnsi="Univers"/>
          <w:b/>
          <w:bCs/>
          <w:sz w:val="24"/>
          <w:szCs w:val="24"/>
          <w:lang w:val="fr-FR"/>
        </w:rPr>
        <w:t>prêt num</w:t>
      </w:r>
      <w:r w:rsidRPr="00494BE9">
        <w:rPr>
          <w:rFonts w:ascii="Univers" w:eastAsia="Times New Roman" w:hAnsi="Univers" w:cs="Times New Roman"/>
          <w:b/>
          <w:bCs/>
          <w:sz w:val="24"/>
          <w:szCs w:val="24"/>
          <w:lang w:val="fr-FR" w:eastAsia="en-NL"/>
        </w:rPr>
        <w:t>é</w:t>
      </w:r>
      <w:r w:rsidRPr="00BA3EC9">
        <w:rPr>
          <w:rStyle w:val="jlqj4b"/>
          <w:rFonts w:ascii="Univers" w:hAnsi="Univers"/>
          <w:b/>
          <w:bCs/>
          <w:sz w:val="24"/>
          <w:szCs w:val="24"/>
          <w:lang w:val="fr-FR"/>
        </w:rPr>
        <w:t>rique contrôl</w:t>
      </w:r>
      <w:r w:rsidRPr="00BA3EC9">
        <w:rPr>
          <w:rFonts w:ascii="Univers" w:eastAsia="Times New Roman" w:hAnsi="Univers" w:cs="Times New Roman"/>
          <w:b/>
          <w:bCs/>
          <w:sz w:val="24"/>
          <w:szCs w:val="24"/>
          <w:lang w:val="fr-FR" w:eastAsia="en-NL"/>
        </w:rPr>
        <w:t>é</w:t>
      </w:r>
      <w:r w:rsidRPr="00BA3EC9">
        <w:rPr>
          <w:rStyle w:val="jlqj4b"/>
          <w:rFonts w:ascii="Univers" w:hAnsi="Univers"/>
          <w:b/>
          <w:bCs/>
          <w:sz w:val="24"/>
          <w:szCs w:val="24"/>
          <w:lang w:val="fr-FR"/>
        </w:rPr>
        <w:t xml:space="preserve"> </w:t>
      </w:r>
      <w:r w:rsidRPr="00BA3EC9">
        <w:rPr>
          <w:rStyle w:val="jlqj4b"/>
          <w:rFonts w:ascii="Univers" w:hAnsi="Univers"/>
          <w:b/>
          <w:bCs/>
          <w:sz w:val="24"/>
          <w:szCs w:val="24"/>
          <w:lang w:val="fr-FR"/>
        </w:rPr>
        <w:t xml:space="preserve">? </w:t>
      </w:r>
    </w:p>
    <w:p w14:paraId="5645574F" w14:textId="77777777" w:rsidR="00494BE9" w:rsidRPr="00BA3EC9" w:rsidRDefault="00494BE9" w:rsidP="00494BE9">
      <w:pPr>
        <w:spacing w:after="0" w:line="240" w:lineRule="auto"/>
        <w:jc w:val="both"/>
        <w:rPr>
          <w:rStyle w:val="jlqj4b"/>
          <w:rFonts w:ascii="Univers" w:hAnsi="Univers"/>
          <w:sz w:val="24"/>
          <w:szCs w:val="24"/>
          <w:lang w:val="fr-FR"/>
        </w:rPr>
      </w:pPr>
    </w:p>
    <w:p w14:paraId="33E337EE" w14:textId="345064CF" w:rsidR="00BA3EC9" w:rsidRDefault="004C5F34" w:rsidP="00494BE9">
      <w:pPr>
        <w:spacing w:after="0" w:line="240" w:lineRule="auto"/>
        <w:jc w:val="both"/>
        <w:rPr>
          <w:rStyle w:val="jlqj4b"/>
          <w:rFonts w:ascii="Univers" w:hAnsi="Univers"/>
          <w:sz w:val="24"/>
          <w:szCs w:val="24"/>
          <w:lang w:val="fr-FR"/>
        </w:rPr>
      </w:pPr>
      <w:r>
        <w:rPr>
          <w:rStyle w:val="jlqj4b"/>
          <w:rFonts w:ascii="Univers" w:hAnsi="Univers"/>
          <w:sz w:val="24"/>
          <w:szCs w:val="24"/>
          <w:lang w:val="fr-FR"/>
        </w:rPr>
        <w:t xml:space="preserve">Le </w:t>
      </w:r>
      <w:r w:rsidR="00BA3EC9">
        <w:rPr>
          <w:rStyle w:val="jlqj4b"/>
          <w:rFonts w:ascii="Univers" w:hAnsi="Univers"/>
          <w:sz w:val="24"/>
          <w:szCs w:val="24"/>
          <w:lang w:val="fr-FR"/>
        </w:rPr>
        <w:t>PNC</w:t>
      </w:r>
      <w:r w:rsidR="00494BE9" w:rsidRPr="00BA3EC9">
        <w:rPr>
          <w:rStyle w:val="jlqj4b"/>
          <w:rFonts w:ascii="Univers" w:hAnsi="Univers"/>
          <w:sz w:val="24"/>
          <w:szCs w:val="24"/>
          <w:lang w:val="fr-FR"/>
        </w:rPr>
        <w:t>, dans le contexte du prêt de livres, promeut l'idée que les bibliothèques sont – ou devraient être – capables de prêter des copies numérisées d'œuvres de leurs collections selon un ratio strict propriété/prêt</w:t>
      </w:r>
      <w:r w:rsidR="00315444">
        <w:rPr>
          <w:rStyle w:val="FootnoteReference"/>
          <w:rFonts w:ascii="Univers" w:hAnsi="Univers"/>
          <w:sz w:val="24"/>
          <w:szCs w:val="24"/>
          <w:lang w:val="fr-FR"/>
        </w:rPr>
        <w:footnoteReference w:id="2"/>
      </w:r>
      <w:r w:rsidR="00494BE9" w:rsidRPr="00BA3EC9">
        <w:rPr>
          <w:rStyle w:val="jlqj4b"/>
          <w:rFonts w:ascii="Univers" w:hAnsi="Univers"/>
          <w:sz w:val="24"/>
          <w:szCs w:val="24"/>
          <w:lang w:val="fr-FR"/>
        </w:rPr>
        <w:t xml:space="preserve">. </w:t>
      </w:r>
      <w:r>
        <w:rPr>
          <w:rStyle w:val="jlqj4b"/>
          <w:rFonts w:ascii="Univers" w:hAnsi="Univers"/>
          <w:sz w:val="24"/>
          <w:szCs w:val="24"/>
          <w:lang w:val="fr-FR"/>
        </w:rPr>
        <w:t>Cela</w:t>
      </w:r>
      <w:r w:rsidR="00494BE9" w:rsidRPr="00BA3EC9">
        <w:rPr>
          <w:rStyle w:val="jlqj4b"/>
          <w:rFonts w:ascii="Univers" w:hAnsi="Univers"/>
          <w:sz w:val="24"/>
          <w:szCs w:val="24"/>
          <w:lang w:val="fr-FR"/>
        </w:rPr>
        <w:t xml:space="preserve"> s'applique au prêt de copies numériques d'œuvres protégées par le droit d'auteur, étant donné que </w:t>
      </w:r>
      <w:r w:rsidR="00494BE9" w:rsidRPr="00BA3EC9">
        <w:rPr>
          <w:rStyle w:val="jlqj4b"/>
          <w:rFonts w:ascii="Univers" w:hAnsi="Univers"/>
          <w:sz w:val="24"/>
          <w:szCs w:val="24"/>
          <w:lang w:val="fr-FR"/>
        </w:rPr>
        <w:lastRenderedPageBreak/>
        <w:t xml:space="preserve">celles qui sont déjà dans le domaine public (c'est-à-dire qui ne font plus l'objet de droits patrimoniaux) peuvent déjà être numérisées et mises à disposition gratuitement. Ce prêt, de manière cruciale, est « contrôlé » grâce à l'utilisation de mesures de protection technologique, qui empêchent la copie illicite et limitent la durée des périodes de prêt. En effet, il donne aux bibliothèques le choix entre les formats numériques et physiques pour donner accès aux œuvres de leur collection. </w:t>
      </w:r>
    </w:p>
    <w:p w14:paraId="3296FE12" w14:textId="77777777" w:rsidR="00BA3EC9" w:rsidRDefault="00BA3EC9" w:rsidP="00494BE9">
      <w:pPr>
        <w:spacing w:after="0" w:line="240" w:lineRule="auto"/>
        <w:jc w:val="both"/>
        <w:rPr>
          <w:rStyle w:val="jlqj4b"/>
          <w:rFonts w:ascii="Univers" w:hAnsi="Univers"/>
          <w:sz w:val="24"/>
          <w:szCs w:val="24"/>
          <w:lang w:val="fr-FR"/>
        </w:rPr>
      </w:pPr>
    </w:p>
    <w:p w14:paraId="18E5C00C" w14:textId="01CD3588" w:rsidR="00315444" w:rsidRDefault="00494BE9" w:rsidP="00494BE9">
      <w:pPr>
        <w:spacing w:after="0" w:line="240" w:lineRule="auto"/>
        <w:jc w:val="both"/>
        <w:rPr>
          <w:rStyle w:val="jlqj4b"/>
          <w:rFonts w:ascii="Univers" w:hAnsi="Univers"/>
          <w:sz w:val="24"/>
          <w:szCs w:val="24"/>
          <w:lang w:val="fr-FR"/>
        </w:rPr>
      </w:pPr>
      <w:r w:rsidRPr="00BA3EC9">
        <w:rPr>
          <w:rStyle w:val="jlqj4b"/>
          <w:rFonts w:ascii="Univers" w:hAnsi="Univers"/>
          <w:sz w:val="24"/>
          <w:szCs w:val="24"/>
          <w:lang w:val="fr-FR"/>
        </w:rPr>
        <w:t xml:space="preserve">Fondamentalement, </w:t>
      </w:r>
      <w:r w:rsidR="00BA3EC9">
        <w:rPr>
          <w:rStyle w:val="jlqj4b"/>
          <w:rFonts w:ascii="Univers" w:hAnsi="Univers"/>
          <w:sz w:val="24"/>
          <w:szCs w:val="24"/>
          <w:lang w:val="fr-FR"/>
        </w:rPr>
        <w:t>PNC</w:t>
      </w:r>
      <w:r w:rsidRPr="00BA3EC9">
        <w:rPr>
          <w:rStyle w:val="jlqj4b"/>
          <w:rFonts w:ascii="Univers" w:hAnsi="Univers"/>
          <w:sz w:val="24"/>
          <w:szCs w:val="24"/>
          <w:lang w:val="fr-FR"/>
        </w:rPr>
        <w:t xml:space="preserve"> est basé sur des exceptions et limitations ou « droits d'utilisateur » dans le droit d'auteur, contrairement aux solutions de licence basées sur le marché. Aux États-Unis, elle a été justifiée, dans un article de David Hansen et Kyle Courtney</w:t>
      </w:r>
      <w:r w:rsidR="00315444">
        <w:rPr>
          <w:rStyle w:val="FootnoteReference"/>
          <w:rFonts w:ascii="Univers" w:hAnsi="Univers"/>
          <w:sz w:val="24"/>
          <w:szCs w:val="24"/>
          <w:lang w:val="fr-FR"/>
        </w:rPr>
        <w:footnoteReference w:id="3"/>
      </w:r>
      <w:r w:rsidRPr="00BA3EC9">
        <w:rPr>
          <w:rStyle w:val="jlqj4b"/>
          <w:rFonts w:ascii="Univers" w:hAnsi="Univers"/>
          <w:sz w:val="24"/>
          <w:szCs w:val="24"/>
          <w:lang w:val="fr-FR"/>
        </w:rPr>
        <w:t xml:space="preserve">, sous la doctrine juridique du </w:t>
      </w:r>
      <w:proofErr w:type="spellStart"/>
      <w:r w:rsidR="00CD1C7B">
        <w:rPr>
          <w:rStyle w:val="jlqj4b"/>
          <w:rFonts w:ascii="Univers" w:hAnsi="Univers"/>
          <w:sz w:val="24"/>
          <w:szCs w:val="24"/>
          <w:lang w:val="fr-FR"/>
        </w:rPr>
        <w:t>f</w:t>
      </w:r>
      <w:r w:rsidRPr="00BA3EC9">
        <w:rPr>
          <w:rStyle w:val="jlqj4b"/>
          <w:rFonts w:ascii="Univers" w:hAnsi="Univers"/>
          <w:sz w:val="24"/>
          <w:szCs w:val="24"/>
          <w:lang w:val="fr-FR"/>
        </w:rPr>
        <w:t>air</w:t>
      </w:r>
      <w:proofErr w:type="spellEnd"/>
      <w:r w:rsidRPr="00BA3EC9">
        <w:rPr>
          <w:rStyle w:val="jlqj4b"/>
          <w:rFonts w:ascii="Univers" w:hAnsi="Univers"/>
          <w:sz w:val="24"/>
          <w:szCs w:val="24"/>
          <w:lang w:val="fr-FR"/>
        </w:rPr>
        <w:t xml:space="preserve"> </w:t>
      </w:r>
      <w:r w:rsidR="00CD1C7B">
        <w:rPr>
          <w:rStyle w:val="jlqj4b"/>
          <w:rFonts w:ascii="Univers" w:hAnsi="Univers"/>
          <w:sz w:val="24"/>
          <w:szCs w:val="24"/>
          <w:lang w:val="fr-FR"/>
        </w:rPr>
        <w:t>u</w:t>
      </w:r>
      <w:r w:rsidRPr="00BA3EC9">
        <w:rPr>
          <w:rStyle w:val="jlqj4b"/>
          <w:rFonts w:ascii="Univers" w:hAnsi="Univers"/>
          <w:sz w:val="24"/>
          <w:szCs w:val="24"/>
          <w:lang w:val="fr-FR"/>
        </w:rPr>
        <w:t>se. Les auteurs affirment que la numérisation et le prêt d'un exemplaire électronique par les bibliothèques sont autorisés après épuisement des droits</w:t>
      </w:r>
      <w:r w:rsidR="00CD1C7B">
        <w:rPr>
          <w:rStyle w:val="jlqj4b"/>
          <w:rFonts w:ascii="Univers" w:hAnsi="Univers"/>
          <w:sz w:val="24"/>
          <w:szCs w:val="24"/>
          <w:lang w:val="fr-FR"/>
        </w:rPr>
        <w:t xml:space="preserve"> </w:t>
      </w:r>
      <w:r w:rsidR="00CD1C7B" w:rsidRPr="00BA3EC9">
        <w:rPr>
          <w:rStyle w:val="jlqj4b"/>
          <w:rFonts w:ascii="Univers" w:hAnsi="Univers"/>
          <w:sz w:val="24"/>
          <w:szCs w:val="24"/>
          <w:lang w:val="fr-FR"/>
        </w:rPr>
        <w:t>à la suite de</w:t>
      </w:r>
      <w:r w:rsidRPr="00BA3EC9">
        <w:rPr>
          <w:rStyle w:val="jlqj4b"/>
          <w:rFonts w:ascii="Univers" w:hAnsi="Univers"/>
          <w:sz w:val="24"/>
          <w:szCs w:val="24"/>
          <w:lang w:val="fr-FR"/>
        </w:rPr>
        <w:t xml:space="preserve"> la première vente de l'exemplaire physique</w:t>
      </w:r>
      <w:r w:rsidR="00CD1C7B">
        <w:rPr>
          <w:rStyle w:val="jlqj4b"/>
          <w:rFonts w:ascii="Univers" w:hAnsi="Univers"/>
          <w:sz w:val="24"/>
          <w:szCs w:val="24"/>
          <w:lang w:val="fr-FR"/>
        </w:rPr>
        <w:t xml:space="preserve"> (en anglais : le principe d’exhaustion)</w:t>
      </w:r>
      <w:r w:rsidRPr="00BA3EC9">
        <w:rPr>
          <w:rStyle w:val="jlqj4b"/>
          <w:rFonts w:ascii="Univers" w:hAnsi="Univers"/>
          <w:sz w:val="24"/>
          <w:szCs w:val="24"/>
          <w:lang w:val="fr-FR"/>
        </w:rPr>
        <w:t xml:space="preserve">, </w:t>
      </w:r>
      <w:r w:rsidR="00CD1C7B">
        <w:rPr>
          <w:rStyle w:val="jlqj4b"/>
          <w:rFonts w:ascii="Univers" w:hAnsi="Univers"/>
          <w:sz w:val="24"/>
          <w:szCs w:val="24"/>
          <w:lang w:val="fr-FR"/>
        </w:rPr>
        <w:t xml:space="preserve">et </w:t>
      </w:r>
      <w:r w:rsidRPr="00BA3EC9">
        <w:rPr>
          <w:rStyle w:val="jlqj4b"/>
          <w:rFonts w:ascii="Univers" w:hAnsi="Univers"/>
          <w:sz w:val="24"/>
          <w:szCs w:val="24"/>
          <w:lang w:val="fr-FR"/>
        </w:rPr>
        <w:t>pour autant que le nombre total d'exemplaires en circulation (physique et numérique confondus) n'excède pas le nombre</w:t>
      </w:r>
      <w:r w:rsidR="00CD1C7B">
        <w:rPr>
          <w:rStyle w:val="jlqj4b"/>
          <w:rFonts w:ascii="Univers" w:hAnsi="Univers"/>
          <w:sz w:val="24"/>
          <w:szCs w:val="24"/>
          <w:lang w:val="fr-FR"/>
        </w:rPr>
        <w:t xml:space="preserve"> de copie détenu par la bibliothèque.</w:t>
      </w:r>
      <w:r w:rsidRPr="00BA3EC9">
        <w:rPr>
          <w:rStyle w:val="jlqj4b"/>
          <w:rFonts w:ascii="Univers" w:hAnsi="Univers"/>
          <w:sz w:val="24"/>
          <w:szCs w:val="24"/>
          <w:lang w:val="fr-FR"/>
        </w:rPr>
        <w:t xml:space="preserve"> </w:t>
      </w:r>
      <w:r w:rsidR="00CD1C7B">
        <w:rPr>
          <w:rStyle w:val="jlqj4b"/>
          <w:rFonts w:ascii="Univers" w:hAnsi="Univers"/>
          <w:sz w:val="24"/>
          <w:szCs w:val="24"/>
          <w:lang w:val="fr-FR"/>
        </w:rPr>
        <w:t>C</w:t>
      </w:r>
      <w:r w:rsidRPr="00BA3EC9">
        <w:rPr>
          <w:rStyle w:val="jlqj4b"/>
          <w:rFonts w:ascii="Univers" w:hAnsi="Univers"/>
          <w:sz w:val="24"/>
          <w:szCs w:val="24"/>
          <w:lang w:val="fr-FR"/>
        </w:rPr>
        <w:t>haque copie physique n'est pas accessible au public tant qu'une copie numérique correspondante est prêtée. Des mesures ont également été prises pour clarifier le statut juridique du prêt électronique en Europe, où la Cour de justice européenne a constaté que les bibliothèques sont autorisées à prêter non seulement des livres papier, mais des livres électroniques en vertu de la loi sur le droit d'auteur</w:t>
      </w:r>
      <w:r w:rsidR="003F186A">
        <w:rPr>
          <w:rStyle w:val="FootnoteReference"/>
          <w:rFonts w:ascii="Univers" w:hAnsi="Univers"/>
          <w:sz w:val="24"/>
          <w:szCs w:val="24"/>
          <w:lang w:val="fr-FR"/>
        </w:rPr>
        <w:footnoteReference w:id="4"/>
      </w:r>
      <w:r w:rsidRPr="00BA3EC9">
        <w:rPr>
          <w:rStyle w:val="jlqj4b"/>
          <w:rFonts w:ascii="Univers" w:hAnsi="Univers"/>
          <w:sz w:val="24"/>
          <w:szCs w:val="24"/>
          <w:lang w:val="fr-FR"/>
        </w:rPr>
        <w:t xml:space="preserve"> en vigueur. </w:t>
      </w:r>
    </w:p>
    <w:p w14:paraId="021B3EA9" w14:textId="77777777" w:rsidR="00315444" w:rsidRDefault="00315444" w:rsidP="00494BE9">
      <w:pPr>
        <w:spacing w:after="0" w:line="240" w:lineRule="auto"/>
        <w:jc w:val="both"/>
        <w:rPr>
          <w:rStyle w:val="jlqj4b"/>
          <w:rFonts w:ascii="Univers" w:hAnsi="Univers"/>
          <w:sz w:val="24"/>
          <w:szCs w:val="24"/>
          <w:lang w:val="fr-FR"/>
        </w:rPr>
      </w:pPr>
    </w:p>
    <w:p w14:paraId="55CF47AD" w14:textId="6CC33813" w:rsidR="003F186A" w:rsidRDefault="00494BE9" w:rsidP="00494BE9">
      <w:pPr>
        <w:spacing w:after="0" w:line="240" w:lineRule="auto"/>
        <w:jc w:val="both"/>
        <w:rPr>
          <w:rStyle w:val="jlqj4b"/>
          <w:rFonts w:ascii="Univers" w:hAnsi="Univers"/>
          <w:sz w:val="24"/>
          <w:szCs w:val="24"/>
          <w:lang w:val="fr-FR"/>
        </w:rPr>
      </w:pPr>
      <w:r w:rsidRPr="00BA3EC9">
        <w:rPr>
          <w:rStyle w:val="jlqj4b"/>
          <w:rFonts w:ascii="Univers" w:hAnsi="Univers"/>
          <w:sz w:val="24"/>
          <w:szCs w:val="24"/>
          <w:lang w:val="fr-FR"/>
        </w:rPr>
        <w:t xml:space="preserve">La compatibilité du </w:t>
      </w:r>
      <w:r w:rsidR="00BA3EC9">
        <w:rPr>
          <w:rStyle w:val="jlqj4b"/>
          <w:rFonts w:ascii="Univers" w:hAnsi="Univers"/>
          <w:sz w:val="24"/>
          <w:szCs w:val="24"/>
          <w:lang w:val="fr-FR"/>
        </w:rPr>
        <w:t>PNC</w:t>
      </w:r>
      <w:r w:rsidRPr="00BA3EC9">
        <w:rPr>
          <w:rStyle w:val="jlqj4b"/>
          <w:rFonts w:ascii="Univers" w:hAnsi="Univers"/>
          <w:sz w:val="24"/>
          <w:szCs w:val="24"/>
          <w:lang w:val="fr-FR"/>
        </w:rPr>
        <w:t xml:space="preserve"> avec les lois en vigueur est de plus en plus sous le feu des projecteurs, compte tenu d'un procès intenté aux États-Unis par un certain nombre d'éditeurs contre un </w:t>
      </w:r>
      <w:r w:rsidR="00F813B7">
        <w:rPr>
          <w:rStyle w:val="jlqj4b"/>
          <w:rFonts w:ascii="Univers" w:hAnsi="Univers"/>
          <w:sz w:val="24"/>
          <w:szCs w:val="24"/>
          <w:lang w:val="fr-FR"/>
        </w:rPr>
        <w:t>défens</w:t>
      </w:r>
      <w:r w:rsidR="00F813B7" w:rsidRPr="00BA3EC9">
        <w:rPr>
          <w:rStyle w:val="jlqj4b"/>
          <w:rFonts w:ascii="Univers" w:hAnsi="Univers"/>
          <w:sz w:val="24"/>
          <w:szCs w:val="24"/>
          <w:lang w:val="fr-FR"/>
        </w:rPr>
        <w:t>eur</w:t>
      </w:r>
      <w:r w:rsidRPr="00BA3EC9">
        <w:rPr>
          <w:rStyle w:val="jlqj4b"/>
          <w:rFonts w:ascii="Univers" w:hAnsi="Univers"/>
          <w:sz w:val="24"/>
          <w:szCs w:val="24"/>
          <w:lang w:val="fr-FR"/>
        </w:rPr>
        <w:t xml:space="preserve"> clé de la démarche, l'Internet Archive</w:t>
      </w:r>
      <w:r w:rsidR="003F186A">
        <w:rPr>
          <w:rStyle w:val="FootnoteReference"/>
          <w:rFonts w:ascii="Univers" w:hAnsi="Univers"/>
          <w:sz w:val="24"/>
          <w:szCs w:val="24"/>
          <w:lang w:val="fr-FR"/>
        </w:rPr>
        <w:footnoteReference w:id="5"/>
      </w:r>
      <w:r w:rsidRPr="00BA3EC9">
        <w:rPr>
          <w:rStyle w:val="jlqj4b"/>
          <w:rFonts w:ascii="Univers" w:hAnsi="Univers"/>
          <w:sz w:val="24"/>
          <w:szCs w:val="24"/>
          <w:lang w:val="fr-FR"/>
        </w:rPr>
        <w:t xml:space="preserve">. Si le </w:t>
      </w:r>
      <w:r w:rsidR="00BA3EC9">
        <w:rPr>
          <w:rStyle w:val="jlqj4b"/>
          <w:rFonts w:ascii="Univers" w:hAnsi="Univers"/>
          <w:sz w:val="24"/>
          <w:szCs w:val="24"/>
          <w:lang w:val="fr-FR"/>
        </w:rPr>
        <w:t>PNC</w:t>
      </w:r>
      <w:r w:rsidRPr="00BA3EC9">
        <w:rPr>
          <w:rStyle w:val="jlqj4b"/>
          <w:rFonts w:ascii="Univers" w:hAnsi="Univers"/>
          <w:sz w:val="24"/>
          <w:szCs w:val="24"/>
          <w:lang w:val="fr-FR"/>
        </w:rPr>
        <w:t xml:space="preserve"> est déclaré légal aux États-Unis, l'attention se déplacera probablement vers d'autres pays. Même si l'approche spécifique du </w:t>
      </w:r>
      <w:r w:rsidR="00BA3EC9">
        <w:rPr>
          <w:rStyle w:val="jlqj4b"/>
          <w:rFonts w:ascii="Univers" w:hAnsi="Univers"/>
          <w:sz w:val="24"/>
          <w:szCs w:val="24"/>
          <w:lang w:val="fr-FR"/>
        </w:rPr>
        <w:t>PNC</w:t>
      </w:r>
      <w:r w:rsidRPr="00BA3EC9">
        <w:rPr>
          <w:rStyle w:val="jlqj4b"/>
          <w:rFonts w:ascii="Univers" w:hAnsi="Univers"/>
          <w:sz w:val="24"/>
          <w:szCs w:val="24"/>
          <w:lang w:val="fr-FR"/>
        </w:rPr>
        <w:t xml:space="preserve"> utilisée aux États-Unis par l'Internet Archive est jugée illicite, le principe de numérisation et de prêt par les bibliothèques de livres utilisant des technologies de prêt contrôlé reste solidement défendu. </w:t>
      </w:r>
    </w:p>
    <w:p w14:paraId="19243194" w14:textId="77777777" w:rsidR="003F186A" w:rsidRDefault="003F186A" w:rsidP="00494BE9">
      <w:pPr>
        <w:spacing w:after="0" w:line="240" w:lineRule="auto"/>
        <w:jc w:val="both"/>
        <w:rPr>
          <w:rStyle w:val="jlqj4b"/>
          <w:rFonts w:ascii="Univers" w:hAnsi="Univers"/>
          <w:sz w:val="24"/>
          <w:szCs w:val="24"/>
          <w:lang w:val="fr-FR"/>
        </w:rPr>
      </w:pPr>
    </w:p>
    <w:p w14:paraId="6A9EBE8B" w14:textId="03BD08D4" w:rsidR="00494BE9" w:rsidRPr="00494BE9" w:rsidRDefault="00494BE9" w:rsidP="00494BE9">
      <w:pPr>
        <w:spacing w:after="0" w:line="240" w:lineRule="auto"/>
        <w:jc w:val="both"/>
        <w:rPr>
          <w:rFonts w:ascii="Univers" w:eastAsia="Times New Roman" w:hAnsi="Univers" w:cs="Times New Roman"/>
          <w:sz w:val="24"/>
          <w:szCs w:val="24"/>
          <w:lang w:val="en-NL" w:eastAsia="en-NL"/>
        </w:rPr>
      </w:pPr>
      <w:r w:rsidRPr="00BA3EC9">
        <w:rPr>
          <w:rStyle w:val="jlqj4b"/>
          <w:rFonts w:ascii="Univers" w:hAnsi="Univers"/>
          <w:sz w:val="24"/>
          <w:szCs w:val="24"/>
          <w:lang w:val="fr-FR"/>
        </w:rPr>
        <w:t>En réalité, les utilisateurs</w:t>
      </w:r>
      <w:r w:rsidR="00F813B7">
        <w:rPr>
          <w:rStyle w:val="jlqj4b"/>
          <w:rFonts w:ascii="Univers" w:hAnsi="Univers"/>
          <w:sz w:val="24"/>
          <w:szCs w:val="24"/>
          <w:lang w:val="fr-FR"/>
        </w:rPr>
        <w:t xml:space="preserve"> et utilisatrices</w:t>
      </w:r>
      <w:r w:rsidRPr="00BA3EC9">
        <w:rPr>
          <w:rStyle w:val="jlqj4b"/>
          <w:rFonts w:ascii="Univers" w:hAnsi="Univers"/>
          <w:sz w:val="24"/>
          <w:szCs w:val="24"/>
          <w:lang w:val="fr-FR"/>
        </w:rPr>
        <w:t xml:space="preserve"> de bibliothèques dans d'autres pays bénéficient déjà d</w:t>
      </w:r>
      <w:r w:rsidR="00F813B7">
        <w:rPr>
          <w:rStyle w:val="jlqj4b"/>
          <w:rFonts w:ascii="Univers" w:hAnsi="Univers"/>
          <w:sz w:val="24"/>
          <w:szCs w:val="24"/>
          <w:lang w:val="fr-FR"/>
        </w:rPr>
        <w:t>u</w:t>
      </w:r>
      <w:r w:rsidRPr="00BA3EC9">
        <w:rPr>
          <w:rStyle w:val="jlqj4b"/>
          <w:rFonts w:ascii="Univers" w:hAnsi="Univers"/>
          <w:sz w:val="24"/>
          <w:szCs w:val="24"/>
          <w:lang w:val="fr-FR"/>
        </w:rPr>
        <w:t xml:space="preserve"> </w:t>
      </w:r>
      <w:r w:rsidR="00BA3EC9">
        <w:rPr>
          <w:rStyle w:val="jlqj4b"/>
          <w:rFonts w:ascii="Univers" w:hAnsi="Univers"/>
          <w:sz w:val="24"/>
          <w:szCs w:val="24"/>
          <w:lang w:val="fr-FR"/>
        </w:rPr>
        <w:t>PNC</w:t>
      </w:r>
      <w:r w:rsidRPr="00BA3EC9">
        <w:rPr>
          <w:rStyle w:val="jlqj4b"/>
          <w:rFonts w:ascii="Univers" w:hAnsi="Univers"/>
          <w:sz w:val="24"/>
          <w:szCs w:val="24"/>
          <w:lang w:val="fr-FR"/>
        </w:rPr>
        <w:t>, par exemple lorsqu'ils</w:t>
      </w:r>
      <w:r w:rsidR="00F813B7">
        <w:rPr>
          <w:rStyle w:val="jlqj4b"/>
          <w:rFonts w:ascii="Univers" w:hAnsi="Univers"/>
          <w:sz w:val="24"/>
          <w:szCs w:val="24"/>
          <w:lang w:val="fr-FR"/>
        </w:rPr>
        <w:t xml:space="preserve"> et elles</w:t>
      </w:r>
      <w:r w:rsidRPr="00BA3EC9">
        <w:rPr>
          <w:rStyle w:val="jlqj4b"/>
          <w:rFonts w:ascii="Univers" w:hAnsi="Univers"/>
          <w:sz w:val="24"/>
          <w:szCs w:val="24"/>
          <w:lang w:val="fr-FR"/>
        </w:rPr>
        <w:t xml:space="preserve"> reçoivent des copies de documents </w:t>
      </w:r>
      <w:r w:rsidR="00F813B7">
        <w:rPr>
          <w:rStyle w:val="jlqj4b"/>
          <w:rFonts w:ascii="Univers" w:hAnsi="Univers"/>
          <w:sz w:val="24"/>
          <w:szCs w:val="24"/>
          <w:lang w:val="fr-FR"/>
        </w:rPr>
        <w:t xml:space="preserve">en version </w:t>
      </w:r>
      <w:r w:rsidRPr="00BA3EC9">
        <w:rPr>
          <w:rStyle w:val="jlqj4b"/>
          <w:rFonts w:ascii="Univers" w:hAnsi="Univers"/>
          <w:sz w:val="24"/>
          <w:szCs w:val="24"/>
          <w:lang w:val="fr-FR"/>
        </w:rPr>
        <w:t xml:space="preserve">électroniques, et au Canada, certaines bibliothèques </w:t>
      </w:r>
      <w:r w:rsidRPr="00BA3EC9">
        <w:rPr>
          <w:rStyle w:val="jlqj4b"/>
          <w:rFonts w:ascii="Univers" w:hAnsi="Univers"/>
          <w:sz w:val="24"/>
          <w:szCs w:val="24"/>
          <w:lang w:val="fr-FR"/>
        </w:rPr>
        <w:lastRenderedPageBreak/>
        <w:t xml:space="preserve">tentent de donner accès aux œuvres de leurs propres collections en utilisant </w:t>
      </w:r>
      <w:r w:rsidR="003F186A">
        <w:rPr>
          <w:rStyle w:val="jlqj4b"/>
          <w:rFonts w:ascii="Univers" w:hAnsi="Univers"/>
          <w:sz w:val="24"/>
          <w:szCs w:val="24"/>
          <w:lang w:val="fr-FR"/>
        </w:rPr>
        <w:t xml:space="preserve">cette </w:t>
      </w:r>
      <w:r w:rsidRPr="00BA3EC9">
        <w:rPr>
          <w:rStyle w:val="jlqj4b"/>
          <w:rFonts w:ascii="Univers" w:hAnsi="Univers"/>
          <w:sz w:val="24"/>
          <w:szCs w:val="24"/>
          <w:lang w:val="fr-FR"/>
        </w:rPr>
        <w:t>approche</w:t>
      </w:r>
      <w:r w:rsidR="003F186A">
        <w:rPr>
          <w:rStyle w:val="FootnoteReference"/>
          <w:rFonts w:ascii="Univers" w:hAnsi="Univers"/>
          <w:sz w:val="24"/>
          <w:szCs w:val="24"/>
          <w:lang w:val="fr-FR"/>
        </w:rPr>
        <w:footnoteReference w:id="6"/>
      </w:r>
      <w:r w:rsidRPr="00BA3EC9">
        <w:rPr>
          <w:rStyle w:val="jlqj4b"/>
          <w:rFonts w:ascii="Univers" w:hAnsi="Univers"/>
          <w:sz w:val="24"/>
          <w:szCs w:val="24"/>
          <w:lang w:val="fr-FR"/>
        </w:rPr>
        <w:t>.</w:t>
      </w:r>
    </w:p>
    <w:p w14:paraId="4675CF1D" w14:textId="036874CD" w:rsidR="00966CDC" w:rsidRPr="00BA3EC9" w:rsidRDefault="00A4163E" w:rsidP="00494BE9">
      <w:pPr>
        <w:jc w:val="both"/>
        <w:rPr>
          <w:rFonts w:ascii="Univers" w:hAnsi="Univers"/>
          <w:sz w:val="24"/>
          <w:szCs w:val="24"/>
          <w:lang w:val="en-NL"/>
        </w:rPr>
      </w:pPr>
    </w:p>
    <w:p w14:paraId="58B8BAB8" w14:textId="6C8B1D46" w:rsidR="006F51C3" w:rsidRPr="00BA3EC9" w:rsidRDefault="00494BE9" w:rsidP="00494BE9">
      <w:pPr>
        <w:spacing w:after="0" w:line="240" w:lineRule="auto"/>
        <w:jc w:val="both"/>
        <w:rPr>
          <w:rFonts w:ascii="Univers" w:eastAsia="Times New Roman" w:hAnsi="Univers" w:cs="Times New Roman"/>
          <w:b/>
          <w:bCs/>
          <w:sz w:val="24"/>
          <w:szCs w:val="24"/>
          <w:lang w:val="fr-FR" w:eastAsia="en-NL"/>
        </w:rPr>
      </w:pPr>
      <w:r w:rsidRPr="00494BE9">
        <w:rPr>
          <w:rFonts w:ascii="Univers" w:eastAsia="Times New Roman" w:hAnsi="Univers" w:cs="Times New Roman"/>
          <w:b/>
          <w:bCs/>
          <w:sz w:val="24"/>
          <w:szCs w:val="24"/>
          <w:lang w:val="fr-FR" w:eastAsia="en-NL"/>
        </w:rPr>
        <w:t xml:space="preserve">L'argument économique du </w:t>
      </w:r>
      <w:r w:rsidR="006F51C3" w:rsidRPr="00BA3EC9">
        <w:rPr>
          <w:rStyle w:val="jlqj4b"/>
          <w:rFonts w:ascii="Univers" w:hAnsi="Univers"/>
          <w:b/>
          <w:bCs/>
          <w:sz w:val="24"/>
          <w:szCs w:val="24"/>
          <w:lang w:val="fr-FR"/>
        </w:rPr>
        <w:t>P</w:t>
      </w:r>
      <w:r w:rsidR="006F51C3" w:rsidRPr="00BA3EC9">
        <w:rPr>
          <w:rStyle w:val="jlqj4b"/>
          <w:rFonts w:ascii="Univers" w:hAnsi="Univers"/>
          <w:b/>
          <w:bCs/>
          <w:sz w:val="24"/>
          <w:szCs w:val="24"/>
          <w:lang w:val="fr-FR"/>
        </w:rPr>
        <w:t xml:space="preserve">rêt </w:t>
      </w:r>
      <w:r w:rsidR="006F51C3" w:rsidRPr="00BA3EC9">
        <w:rPr>
          <w:rStyle w:val="jlqj4b"/>
          <w:rFonts w:ascii="Univers" w:hAnsi="Univers"/>
          <w:b/>
          <w:bCs/>
          <w:sz w:val="24"/>
          <w:szCs w:val="24"/>
          <w:lang w:val="fr-FR"/>
        </w:rPr>
        <w:t>N</w:t>
      </w:r>
      <w:r w:rsidR="006F51C3" w:rsidRPr="00BA3EC9">
        <w:rPr>
          <w:rStyle w:val="jlqj4b"/>
          <w:rFonts w:ascii="Univers" w:hAnsi="Univers"/>
          <w:b/>
          <w:bCs/>
          <w:sz w:val="24"/>
          <w:szCs w:val="24"/>
          <w:lang w:val="fr-FR"/>
        </w:rPr>
        <w:t>um</w:t>
      </w:r>
      <w:r w:rsidR="006F51C3" w:rsidRPr="00494BE9">
        <w:rPr>
          <w:rFonts w:ascii="Univers" w:eastAsia="Times New Roman" w:hAnsi="Univers" w:cs="Times New Roman"/>
          <w:b/>
          <w:bCs/>
          <w:sz w:val="24"/>
          <w:szCs w:val="24"/>
          <w:lang w:val="fr-FR" w:eastAsia="en-NL"/>
        </w:rPr>
        <w:t>é</w:t>
      </w:r>
      <w:r w:rsidR="006F51C3" w:rsidRPr="00BA3EC9">
        <w:rPr>
          <w:rStyle w:val="jlqj4b"/>
          <w:rFonts w:ascii="Univers" w:hAnsi="Univers"/>
          <w:b/>
          <w:bCs/>
          <w:sz w:val="24"/>
          <w:szCs w:val="24"/>
          <w:lang w:val="fr-FR"/>
        </w:rPr>
        <w:t xml:space="preserve">rique </w:t>
      </w:r>
      <w:r w:rsidR="006F51C3" w:rsidRPr="00BA3EC9">
        <w:rPr>
          <w:rStyle w:val="jlqj4b"/>
          <w:rFonts w:ascii="Univers" w:hAnsi="Univers"/>
          <w:b/>
          <w:bCs/>
          <w:sz w:val="24"/>
          <w:szCs w:val="24"/>
          <w:lang w:val="fr-FR"/>
        </w:rPr>
        <w:t>C</w:t>
      </w:r>
      <w:r w:rsidR="006F51C3" w:rsidRPr="00BA3EC9">
        <w:rPr>
          <w:rStyle w:val="jlqj4b"/>
          <w:rFonts w:ascii="Univers" w:hAnsi="Univers"/>
          <w:b/>
          <w:bCs/>
          <w:sz w:val="24"/>
          <w:szCs w:val="24"/>
          <w:lang w:val="fr-FR"/>
        </w:rPr>
        <w:t>ontrôl</w:t>
      </w:r>
      <w:r w:rsidR="006F51C3" w:rsidRPr="00BA3EC9">
        <w:rPr>
          <w:rFonts w:ascii="Univers" w:eastAsia="Times New Roman" w:hAnsi="Univers" w:cs="Times New Roman"/>
          <w:b/>
          <w:bCs/>
          <w:sz w:val="24"/>
          <w:szCs w:val="24"/>
          <w:lang w:val="fr-FR" w:eastAsia="en-NL"/>
        </w:rPr>
        <w:t>é</w:t>
      </w:r>
    </w:p>
    <w:p w14:paraId="4CA429EE" w14:textId="77777777" w:rsidR="006F51C3" w:rsidRPr="00BA3EC9" w:rsidRDefault="006F51C3" w:rsidP="00494BE9">
      <w:pPr>
        <w:spacing w:after="0" w:line="240" w:lineRule="auto"/>
        <w:jc w:val="both"/>
        <w:rPr>
          <w:rFonts w:ascii="Univers" w:eastAsia="Times New Roman" w:hAnsi="Univers" w:cs="Times New Roman"/>
          <w:sz w:val="24"/>
          <w:szCs w:val="24"/>
          <w:lang w:val="fr-FR" w:eastAsia="en-NL"/>
        </w:rPr>
      </w:pPr>
    </w:p>
    <w:p w14:paraId="08D1E6F0" w14:textId="1A2FAD15" w:rsidR="003F186A" w:rsidRDefault="00494BE9" w:rsidP="00494BE9">
      <w:pPr>
        <w:spacing w:after="0" w:line="240" w:lineRule="auto"/>
        <w:jc w:val="both"/>
        <w:rPr>
          <w:rFonts w:ascii="Univers" w:eastAsia="Times New Roman" w:hAnsi="Univers" w:cs="Times New Roman"/>
          <w:sz w:val="24"/>
          <w:szCs w:val="24"/>
          <w:lang w:val="fr-FR" w:eastAsia="en-NL"/>
        </w:rPr>
      </w:pPr>
      <w:r w:rsidRPr="00494BE9">
        <w:rPr>
          <w:rFonts w:ascii="Univers" w:eastAsia="Times New Roman" w:hAnsi="Univers" w:cs="Times New Roman"/>
          <w:sz w:val="24"/>
          <w:szCs w:val="24"/>
          <w:lang w:val="fr-FR" w:eastAsia="en-NL"/>
        </w:rPr>
        <w:t>L'une des principales raisons pour l</w:t>
      </w:r>
      <w:r w:rsidR="00F813B7">
        <w:rPr>
          <w:rFonts w:ascii="Univers" w:eastAsia="Times New Roman" w:hAnsi="Univers" w:cs="Times New Roman"/>
          <w:sz w:val="24"/>
          <w:szCs w:val="24"/>
          <w:lang w:val="fr-FR" w:eastAsia="en-NL"/>
        </w:rPr>
        <w:t>aquelle</w:t>
      </w:r>
      <w:r w:rsidRPr="00494BE9">
        <w:rPr>
          <w:rFonts w:ascii="Univers" w:eastAsia="Times New Roman" w:hAnsi="Univers" w:cs="Times New Roman"/>
          <w:sz w:val="24"/>
          <w:szCs w:val="24"/>
          <w:lang w:val="fr-FR" w:eastAsia="en-NL"/>
        </w:rPr>
        <w:t xml:space="preserve"> le</w:t>
      </w:r>
      <w:r w:rsidR="00BA3EC9">
        <w:rPr>
          <w:rFonts w:ascii="Univers" w:eastAsia="Times New Roman" w:hAnsi="Univers" w:cs="Times New Roman"/>
          <w:sz w:val="24"/>
          <w:szCs w:val="24"/>
          <w:lang w:val="fr-FR" w:eastAsia="en-NL"/>
        </w:rPr>
        <w:t xml:space="preserve"> PNC</w:t>
      </w:r>
      <w:r w:rsidRPr="00494BE9">
        <w:rPr>
          <w:rFonts w:ascii="Univers" w:eastAsia="Times New Roman" w:hAnsi="Univers" w:cs="Times New Roman"/>
          <w:sz w:val="24"/>
          <w:szCs w:val="24"/>
          <w:lang w:val="fr-FR" w:eastAsia="en-NL"/>
        </w:rPr>
        <w:t xml:space="preserve"> est nécessaire est l'incapacité des marchés à fournir un accès aux œuvres sous forme numérique sur une base cohérente et équitable. Tout d'abord, une très faible part des livres est actuellement disponible sous forme numérique pour les bibliothèques, soit en raison d'un épuisement (donc aucun investissement n'est fait pour sortir des versions numériques), d'un manque de ressources dans les maisons d'édition, ou d'un refus vendre aux bibliothèques</w:t>
      </w:r>
      <w:r w:rsidR="003F186A">
        <w:rPr>
          <w:rStyle w:val="FootnoteReference"/>
          <w:rFonts w:ascii="Univers" w:eastAsia="Times New Roman" w:hAnsi="Univers" w:cs="Times New Roman"/>
          <w:sz w:val="24"/>
          <w:szCs w:val="24"/>
          <w:lang w:val="fr-FR" w:eastAsia="en-NL"/>
        </w:rPr>
        <w:footnoteReference w:id="7"/>
      </w:r>
      <w:r w:rsidRPr="00494BE9">
        <w:rPr>
          <w:rFonts w:ascii="Univers" w:eastAsia="Times New Roman" w:hAnsi="Univers" w:cs="Times New Roman"/>
          <w:sz w:val="24"/>
          <w:szCs w:val="24"/>
          <w:lang w:val="fr-FR" w:eastAsia="en-NL"/>
        </w:rPr>
        <w:t xml:space="preserve">. Cela empêche effectivement les bibliothèques de remplir leur mission à l'ère numérique et </w:t>
      </w:r>
      <w:r w:rsidR="00F813B7">
        <w:rPr>
          <w:rFonts w:ascii="Univers" w:eastAsia="Times New Roman" w:hAnsi="Univers" w:cs="Times New Roman"/>
          <w:sz w:val="24"/>
          <w:szCs w:val="24"/>
          <w:lang w:val="fr-FR" w:eastAsia="en-NL"/>
        </w:rPr>
        <w:t>ébranle</w:t>
      </w:r>
      <w:r w:rsidRPr="00494BE9">
        <w:rPr>
          <w:rFonts w:ascii="Univers" w:eastAsia="Times New Roman" w:hAnsi="Univers" w:cs="Times New Roman"/>
          <w:sz w:val="24"/>
          <w:szCs w:val="24"/>
          <w:lang w:val="fr-FR" w:eastAsia="en-NL"/>
        </w:rPr>
        <w:t xml:space="preserve"> la recherche et l'apprentissage dans la société. </w:t>
      </w:r>
    </w:p>
    <w:p w14:paraId="341E72BF" w14:textId="77777777" w:rsidR="003F186A" w:rsidRDefault="003F186A" w:rsidP="00494BE9">
      <w:pPr>
        <w:spacing w:after="0" w:line="240" w:lineRule="auto"/>
        <w:jc w:val="both"/>
        <w:rPr>
          <w:rFonts w:ascii="Univers" w:eastAsia="Times New Roman" w:hAnsi="Univers" w:cs="Times New Roman"/>
          <w:sz w:val="24"/>
          <w:szCs w:val="24"/>
          <w:lang w:val="fr-FR" w:eastAsia="en-NL"/>
        </w:rPr>
      </w:pPr>
    </w:p>
    <w:p w14:paraId="196C0854" w14:textId="6D8EA936" w:rsidR="003F186A" w:rsidRDefault="00494BE9" w:rsidP="00494BE9">
      <w:pPr>
        <w:spacing w:after="0" w:line="240" w:lineRule="auto"/>
        <w:jc w:val="both"/>
        <w:rPr>
          <w:rFonts w:ascii="Univers" w:eastAsia="Times New Roman" w:hAnsi="Univers" w:cs="Times New Roman"/>
          <w:sz w:val="24"/>
          <w:szCs w:val="24"/>
          <w:lang w:val="fr-FR" w:eastAsia="en-NL"/>
        </w:rPr>
      </w:pPr>
      <w:r w:rsidRPr="00494BE9">
        <w:rPr>
          <w:rFonts w:ascii="Univers" w:eastAsia="Times New Roman" w:hAnsi="Univers" w:cs="Times New Roman"/>
          <w:sz w:val="24"/>
          <w:szCs w:val="24"/>
          <w:lang w:val="fr-FR" w:eastAsia="en-NL"/>
        </w:rPr>
        <w:t xml:space="preserve">La crise du COVID-19 a mis en évidence bon nombre de </w:t>
      </w:r>
      <w:r w:rsidR="002A1457" w:rsidRPr="00494BE9">
        <w:rPr>
          <w:rFonts w:ascii="Univers" w:eastAsia="Times New Roman" w:hAnsi="Univers" w:cs="Times New Roman"/>
          <w:sz w:val="24"/>
          <w:szCs w:val="24"/>
          <w:lang w:val="fr-FR" w:eastAsia="en-NL"/>
        </w:rPr>
        <w:t>problém</w:t>
      </w:r>
      <w:r w:rsidR="002A1457">
        <w:rPr>
          <w:rFonts w:ascii="Univers" w:eastAsia="Times New Roman" w:hAnsi="Univers" w:cs="Times New Roman"/>
          <w:sz w:val="24"/>
          <w:szCs w:val="24"/>
          <w:lang w:val="fr-FR" w:eastAsia="en-NL"/>
        </w:rPr>
        <w:t>atiques</w:t>
      </w:r>
      <w:r w:rsidRPr="00494BE9">
        <w:rPr>
          <w:rFonts w:ascii="Univers" w:eastAsia="Times New Roman" w:hAnsi="Univers" w:cs="Times New Roman"/>
          <w:sz w:val="24"/>
          <w:szCs w:val="24"/>
          <w:lang w:val="fr-FR" w:eastAsia="en-NL"/>
        </w:rPr>
        <w:t xml:space="preserve"> de disponibilité et de tarification des livres électroniques, car les </w:t>
      </w:r>
      <w:r w:rsidR="00860323">
        <w:rPr>
          <w:rFonts w:ascii="Univers" w:eastAsia="Times New Roman" w:hAnsi="Univers" w:cs="Times New Roman"/>
          <w:sz w:val="24"/>
          <w:szCs w:val="24"/>
          <w:lang w:val="fr-FR" w:eastAsia="en-NL"/>
        </w:rPr>
        <w:t xml:space="preserve">usagers et </w:t>
      </w:r>
      <w:r w:rsidRPr="00494BE9">
        <w:rPr>
          <w:rFonts w:ascii="Univers" w:eastAsia="Times New Roman" w:hAnsi="Univers" w:cs="Times New Roman"/>
          <w:sz w:val="24"/>
          <w:szCs w:val="24"/>
          <w:lang w:val="fr-FR" w:eastAsia="en-NL"/>
        </w:rPr>
        <w:t>usag</w:t>
      </w:r>
      <w:r w:rsidR="002A1457">
        <w:rPr>
          <w:rFonts w:ascii="Univers" w:eastAsia="Times New Roman" w:hAnsi="Univers" w:cs="Times New Roman"/>
          <w:sz w:val="24"/>
          <w:szCs w:val="24"/>
          <w:lang w:val="fr-FR" w:eastAsia="en-NL"/>
        </w:rPr>
        <w:t>è</w:t>
      </w:r>
      <w:r w:rsidRPr="00494BE9">
        <w:rPr>
          <w:rFonts w:ascii="Univers" w:eastAsia="Times New Roman" w:hAnsi="Univers" w:cs="Times New Roman"/>
          <w:sz w:val="24"/>
          <w:szCs w:val="24"/>
          <w:lang w:val="fr-FR" w:eastAsia="en-NL"/>
        </w:rPr>
        <w:t>r</w:t>
      </w:r>
      <w:r w:rsidR="002A1457">
        <w:rPr>
          <w:rFonts w:ascii="Univers" w:eastAsia="Times New Roman" w:hAnsi="Univers" w:cs="Times New Roman"/>
          <w:sz w:val="24"/>
          <w:szCs w:val="24"/>
          <w:lang w:val="fr-FR" w:eastAsia="en-NL"/>
        </w:rPr>
        <w:t>e</w:t>
      </w:r>
      <w:r w:rsidRPr="00494BE9">
        <w:rPr>
          <w:rFonts w:ascii="Univers" w:eastAsia="Times New Roman" w:hAnsi="Univers" w:cs="Times New Roman"/>
          <w:sz w:val="24"/>
          <w:szCs w:val="24"/>
          <w:lang w:val="fr-FR" w:eastAsia="en-NL"/>
        </w:rPr>
        <w:t>s ne pouvaient plus visiter physiquement la bibliothèque et l'accès devait passer à l'électronique du jour au lendemain. Lorsque les livres électroniques sont disponibles à l'achat pour les bibliothèques, ils sont souvent concédés sous licence aux bibliothèques à des prix nettement plus élevés que leur équivalent</w:t>
      </w:r>
      <w:r w:rsidR="003F186A">
        <w:rPr>
          <w:rStyle w:val="FootnoteReference"/>
          <w:rFonts w:ascii="Univers" w:eastAsia="Times New Roman" w:hAnsi="Univers" w:cs="Times New Roman"/>
          <w:sz w:val="24"/>
          <w:szCs w:val="24"/>
          <w:lang w:val="fr-FR" w:eastAsia="en-NL"/>
        </w:rPr>
        <w:footnoteReference w:id="8"/>
      </w:r>
      <w:r w:rsidRPr="00494BE9">
        <w:rPr>
          <w:rFonts w:ascii="Univers" w:eastAsia="Times New Roman" w:hAnsi="Univers" w:cs="Times New Roman"/>
          <w:sz w:val="24"/>
          <w:szCs w:val="24"/>
          <w:lang w:val="fr-FR" w:eastAsia="en-NL"/>
        </w:rPr>
        <w:t xml:space="preserve"> papier, ou dans des conditions beaucoup plus restrictives que pour les livres physiques. Dans certains cas, les bibliothèques sont obligées d'acheter de plus grandes collections de livres électroniques, car les éditeur</w:t>
      </w:r>
      <w:r w:rsidR="00860323" w:rsidRPr="00860323">
        <w:rPr>
          <w:rFonts w:ascii="Univers" w:eastAsia="Times New Roman" w:hAnsi="Univers" w:cs="Calibri Light"/>
          <w:sz w:val="24"/>
          <w:szCs w:val="24"/>
          <w:lang w:val="fr-FR" w:eastAsia="en-NL"/>
        </w:rPr>
        <w:t>s et édit</w:t>
      </w:r>
      <w:r w:rsidR="00860323" w:rsidRPr="00860323">
        <w:rPr>
          <w:rFonts w:ascii="Univers" w:eastAsia="Times New Roman" w:hAnsi="Univers" w:cs="Times New Roman"/>
          <w:sz w:val="24"/>
          <w:szCs w:val="24"/>
          <w:lang w:val="fr-FR" w:eastAsia="en-NL"/>
        </w:rPr>
        <w:t>rice</w:t>
      </w:r>
      <w:r w:rsidR="00860323" w:rsidRPr="00494BE9">
        <w:rPr>
          <w:rFonts w:ascii="Univers" w:eastAsia="Times New Roman" w:hAnsi="Univers" w:cs="Times New Roman"/>
          <w:sz w:val="24"/>
          <w:szCs w:val="24"/>
          <w:lang w:val="fr-FR" w:eastAsia="en-NL"/>
        </w:rPr>
        <w:t>s</w:t>
      </w:r>
      <w:r w:rsidRPr="00494BE9">
        <w:rPr>
          <w:rFonts w:ascii="Univers" w:eastAsia="Times New Roman" w:hAnsi="Univers" w:cs="Times New Roman"/>
          <w:sz w:val="24"/>
          <w:szCs w:val="24"/>
          <w:lang w:val="fr-FR" w:eastAsia="en-NL"/>
        </w:rPr>
        <w:t xml:space="preserve"> n'autorisent pas l'accès à des titres spécifiques souhaités uniquement, ce qui réduit par conséquent la liberté de choix des bibliothèques d'acheter d'autres livres. Cela </w:t>
      </w:r>
      <w:r w:rsidR="002A1457">
        <w:rPr>
          <w:rFonts w:ascii="Univers" w:eastAsia="Times New Roman" w:hAnsi="Univers" w:cs="Times New Roman"/>
          <w:sz w:val="24"/>
          <w:szCs w:val="24"/>
          <w:lang w:val="fr-FR" w:eastAsia="en-NL"/>
        </w:rPr>
        <w:t xml:space="preserve">diminue </w:t>
      </w:r>
      <w:r w:rsidRPr="00494BE9">
        <w:rPr>
          <w:rFonts w:ascii="Univers" w:eastAsia="Times New Roman" w:hAnsi="Univers" w:cs="Times New Roman"/>
          <w:sz w:val="24"/>
          <w:szCs w:val="24"/>
          <w:lang w:val="fr-FR" w:eastAsia="en-NL"/>
        </w:rPr>
        <w:t xml:space="preserve">la capacité d'une bibliothèque à répondre aux besoins des chercheurs </w:t>
      </w:r>
      <w:r w:rsidR="002A1457">
        <w:rPr>
          <w:rFonts w:ascii="Univers" w:eastAsia="Times New Roman" w:hAnsi="Univers" w:cs="Times New Roman"/>
          <w:sz w:val="24"/>
          <w:szCs w:val="24"/>
          <w:lang w:val="fr-FR" w:eastAsia="en-NL"/>
        </w:rPr>
        <w:t xml:space="preserve">et chercheuses </w:t>
      </w:r>
      <w:r w:rsidRPr="00494BE9">
        <w:rPr>
          <w:rFonts w:ascii="Univers" w:eastAsia="Times New Roman" w:hAnsi="Univers" w:cs="Times New Roman"/>
          <w:sz w:val="24"/>
          <w:szCs w:val="24"/>
          <w:lang w:val="fr-FR" w:eastAsia="en-NL"/>
        </w:rPr>
        <w:t>et du public, et exacerbe la « crise des monographies »</w:t>
      </w:r>
      <w:r w:rsidR="00A4655C">
        <w:rPr>
          <w:rStyle w:val="FootnoteReference"/>
          <w:rFonts w:ascii="Univers" w:eastAsia="Times New Roman" w:hAnsi="Univers" w:cs="Times New Roman"/>
          <w:sz w:val="24"/>
          <w:szCs w:val="24"/>
          <w:lang w:val="fr-FR" w:eastAsia="en-NL"/>
        </w:rPr>
        <w:footnoteReference w:id="9"/>
      </w:r>
      <w:r w:rsidR="003F186A">
        <w:rPr>
          <w:rStyle w:val="FootnoteReference"/>
          <w:rFonts w:ascii="Univers" w:eastAsia="Times New Roman" w:hAnsi="Univers" w:cs="Times New Roman"/>
          <w:sz w:val="24"/>
          <w:szCs w:val="24"/>
          <w:lang w:val="fr-FR" w:eastAsia="en-NL"/>
        </w:rPr>
        <w:footnoteReference w:id="10"/>
      </w:r>
      <w:r w:rsidRPr="00494BE9">
        <w:rPr>
          <w:rFonts w:ascii="Univers" w:eastAsia="Times New Roman" w:hAnsi="Univers" w:cs="Times New Roman"/>
          <w:sz w:val="24"/>
          <w:szCs w:val="24"/>
          <w:lang w:val="fr-FR" w:eastAsia="en-NL"/>
        </w:rPr>
        <w:t xml:space="preserve"> déjà aiguë. </w:t>
      </w:r>
    </w:p>
    <w:p w14:paraId="63A7F24E" w14:textId="77777777" w:rsidR="003F186A" w:rsidRDefault="003F186A" w:rsidP="00494BE9">
      <w:pPr>
        <w:spacing w:after="0" w:line="240" w:lineRule="auto"/>
        <w:jc w:val="both"/>
        <w:rPr>
          <w:rFonts w:ascii="Univers" w:eastAsia="Times New Roman" w:hAnsi="Univers" w:cs="Times New Roman"/>
          <w:sz w:val="24"/>
          <w:szCs w:val="24"/>
          <w:lang w:val="fr-FR" w:eastAsia="en-NL"/>
        </w:rPr>
      </w:pPr>
    </w:p>
    <w:p w14:paraId="499CB5FF" w14:textId="1038AE02" w:rsidR="00494BE9" w:rsidRPr="00494BE9" w:rsidRDefault="00494BE9" w:rsidP="00494BE9">
      <w:pPr>
        <w:spacing w:after="0" w:line="240" w:lineRule="auto"/>
        <w:jc w:val="both"/>
        <w:rPr>
          <w:rFonts w:ascii="Univers" w:eastAsia="Times New Roman" w:hAnsi="Univers" w:cs="Times New Roman"/>
          <w:sz w:val="24"/>
          <w:szCs w:val="24"/>
          <w:lang w:val="en-NL" w:eastAsia="en-NL"/>
        </w:rPr>
      </w:pPr>
      <w:r w:rsidRPr="00494BE9">
        <w:rPr>
          <w:rFonts w:ascii="Univers" w:eastAsia="Times New Roman" w:hAnsi="Univers" w:cs="Times New Roman"/>
          <w:sz w:val="24"/>
          <w:szCs w:val="24"/>
          <w:lang w:val="fr-FR" w:eastAsia="en-NL"/>
        </w:rPr>
        <w:t xml:space="preserve">Lorsqu'aucun livre électronique n'est disponible ou que les conditions générales sont des obstacles, la possibilité pour les bibliothèques de numériser des copies </w:t>
      </w:r>
      <w:r w:rsidRPr="00494BE9">
        <w:rPr>
          <w:rFonts w:ascii="Univers" w:eastAsia="Times New Roman" w:hAnsi="Univers" w:cs="Times New Roman"/>
          <w:sz w:val="24"/>
          <w:szCs w:val="24"/>
          <w:lang w:val="fr-FR" w:eastAsia="en-NL"/>
        </w:rPr>
        <w:lastRenderedPageBreak/>
        <w:t>physiques d'œuvres acquises légalement signifierait que, lors de la fixation des prix et des conditions pour les livres électroniques et autres ressources électroniques, les titulaires de droits devraient appliquer les mêmes principes</w:t>
      </w:r>
      <w:r w:rsidR="002A1457">
        <w:rPr>
          <w:rFonts w:ascii="Univers" w:eastAsia="Times New Roman" w:hAnsi="Univers" w:cs="Times New Roman"/>
          <w:sz w:val="24"/>
          <w:szCs w:val="24"/>
          <w:lang w:val="fr-FR" w:eastAsia="en-NL"/>
        </w:rPr>
        <w:t xml:space="preserve">, </w:t>
      </w:r>
      <w:r w:rsidRPr="00494BE9">
        <w:rPr>
          <w:rFonts w:ascii="Univers" w:eastAsia="Times New Roman" w:hAnsi="Univers" w:cs="Times New Roman"/>
          <w:sz w:val="24"/>
          <w:szCs w:val="24"/>
          <w:lang w:val="fr-FR" w:eastAsia="en-NL"/>
        </w:rPr>
        <w:t>comme pour les livres physiques. En effet, cela briserait le mur entre les marchés des livres physiques et des livres électroniques, permettant une plus grande concurrence entre les deux. Cela contribuerait à garantir l</w:t>
      </w:r>
      <w:r w:rsidR="002A1457">
        <w:rPr>
          <w:rFonts w:ascii="Univers" w:eastAsia="Times New Roman" w:hAnsi="Univers" w:cs="Times New Roman"/>
          <w:sz w:val="24"/>
          <w:szCs w:val="24"/>
          <w:lang w:val="fr-FR" w:eastAsia="en-NL"/>
        </w:rPr>
        <w:t>a continuité de l’</w:t>
      </w:r>
      <w:r w:rsidRPr="00494BE9">
        <w:rPr>
          <w:rFonts w:ascii="Univers" w:eastAsia="Times New Roman" w:hAnsi="Univers" w:cs="Times New Roman"/>
          <w:sz w:val="24"/>
          <w:szCs w:val="24"/>
          <w:lang w:val="fr-FR" w:eastAsia="en-NL"/>
        </w:rPr>
        <w:t>efficacité de la protection que les bibliothèques offrent contre les conséquences négatives du mauvais fonctionnement des marchés du livre électronique.</w:t>
      </w:r>
      <w:r w:rsidRPr="00494BE9">
        <w:rPr>
          <w:rFonts w:ascii="Univers" w:eastAsia="Times New Roman" w:hAnsi="Univers" w:cs="Times New Roman"/>
          <w:sz w:val="24"/>
          <w:szCs w:val="24"/>
          <w:lang w:val="en-NL" w:eastAsia="en-NL"/>
        </w:rPr>
        <w:t xml:space="preserve"> </w:t>
      </w:r>
    </w:p>
    <w:p w14:paraId="59559604" w14:textId="30B70D9D" w:rsidR="00494BE9" w:rsidRPr="00BA3EC9" w:rsidRDefault="00494BE9" w:rsidP="00494BE9">
      <w:pPr>
        <w:jc w:val="both"/>
        <w:rPr>
          <w:rFonts w:ascii="Univers" w:hAnsi="Univers"/>
          <w:sz w:val="24"/>
          <w:szCs w:val="24"/>
          <w:lang w:val="en-NL"/>
        </w:rPr>
      </w:pPr>
    </w:p>
    <w:p w14:paraId="14448C01" w14:textId="4869CD2E" w:rsidR="006F51C3" w:rsidRPr="00BA3EC9" w:rsidRDefault="00494BE9" w:rsidP="00494BE9">
      <w:pPr>
        <w:jc w:val="both"/>
        <w:rPr>
          <w:rStyle w:val="jlqj4b"/>
          <w:rFonts w:ascii="Univers" w:hAnsi="Univers"/>
          <w:b/>
          <w:bCs/>
          <w:sz w:val="24"/>
          <w:szCs w:val="24"/>
          <w:lang w:val="fr-FR"/>
        </w:rPr>
      </w:pPr>
      <w:r w:rsidRPr="00BA3EC9">
        <w:rPr>
          <w:rStyle w:val="jlqj4b"/>
          <w:rFonts w:ascii="Univers" w:hAnsi="Univers"/>
          <w:b/>
          <w:bCs/>
          <w:sz w:val="24"/>
          <w:szCs w:val="24"/>
          <w:lang w:val="fr-FR"/>
        </w:rPr>
        <w:t>Le cas juridique de</w:t>
      </w:r>
      <w:r w:rsidR="006F51C3" w:rsidRPr="00BA3EC9">
        <w:rPr>
          <w:rStyle w:val="jlqj4b"/>
          <w:rFonts w:ascii="Univers" w:hAnsi="Univers"/>
          <w:b/>
          <w:bCs/>
          <w:sz w:val="24"/>
          <w:szCs w:val="24"/>
          <w:lang w:val="fr-FR"/>
        </w:rPr>
        <w:t xml:space="preserve"> P</w:t>
      </w:r>
      <w:r w:rsidR="006F51C3" w:rsidRPr="00BA3EC9">
        <w:rPr>
          <w:rStyle w:val="jlqj4b"/>
          <w:rFonts w:ascii="Univers" w:hAnsi="Univers"/>
          <w:b/>
          <w:bCs/>
          <w:sz w:val="24"/>
          <w:szCs w:val="24"/>
          <w:lang w:val="fr-FR"/>
        </w:rPr>
        <w:t xml:space="preserve">rêt </w:t>
      </w:r>
      <w:r w:rsidR="006F51C3" w:rsidRPr="00BA3EC9">
        <w:rPr>
          <w:rStyle w:val="jlqj4b"/>
          <w:rFonts w:ascii="Univers" w:hAnsi="Univers"/>
          <w:b/>
          <w:bCs/>
          <w:sz w:val="24"/>
          <w:szCs w:val="24"/>
          <w:lang w:val="fr-FR"/>
        </w:rPr>
        <w:t>N</w:t>
      </w:r>
      <w:r w:rsidR="006F51C3" w:rsidRPr="00BA3EC9">
        <w:rPr>
          <w:rStyle w:val="jlqj4b"/>
          <w:rFonts w:ascii="Univers" w:hAnsi="Univers"/>
          <w:b/>
          <w:bCs/>
          <w:sz w:val="24"/>
          <w:szCs w:val="24"/>
          <w:lang w:val="fr-FR"/>
        </w:rPr>
        <w:t>um</w:t>
      </w:r>
      <w:r w:rsidR="006F51C3" w:rsidRPr="00494BE9">
        <w:rPr>
          <w:rFonts w:ascii="Univers" w:eastAsia="Times New Roman" w:hAnsi="Univers" w:cs="Times New Roman"/>
          <w:b/>
          <w:bCs/>
          <w:sz w:val="24"/>
          <w:szCs w:val="24"/>
          <w:lang w:val="fr-FR" w:eastAsia="en-NL"/>
        </w:rPr>
        <w:t>é</w:t>
      </w:r>
      <w:r w:rsidR="006F51C3" w:rsidRPr="00BA3EC9">
        <w:rPr>
          <w:rStyle w:val="jlqj4b"/>
          <w:rFonts w:ascii="Univers" w:hAnsi="Univers"/>
          <w:b/>
          <w:bCs/>
          <w:sz w:val="24"/>
          <w:szCs w:val="24"/>
          <w:lang w:val="fr-FR"/>
        </w:rPr>
        <w:t xml:space="preserve">rique </w:t>
      </w:r>
      <w:r w:rsidR="006F51C3" w:rsidRPr="00BA3EC9">
        <w:rPr>
          <w:rStyle w:val="jlqj4b"/>
          <w:rFonts w:ascii="Univers" w:hAnsi="Univers"/>
          <w:b/>
          <w:bCs/>
          <w:sz w:val="24"/>
          <w:szCs w:val="24"/>
          <w:lang w:val="fr-FR"/>
        </w:rPr>
        <w:t>C</w:t>
      </w:r>
      <w:r w:rsidR="006F51C3" w:rsidRPr="00BA3EC9">
        <w:rPr>
          <w:rStyle w:val="jlqj4b"/>
          <w:rFonts w:ascii="Univers" w:hAnsi="Univers"/>
          <w:b/>
          <w:bCs/>
          <w:sz w:val="24"/>
          <w:szCs w:val="24"/>
          <w:lang w:val="fr-FR"/>
        </w:rPr>
        <w:t>ontrôl</w:t>
      </w:r>
      <w:r w:rsidR="006F51C3" w:rsidRPr="00BA3EC9">
        <w:rPr>
          <w:rFonts w:ascii="Univers" w:eastAsia="Times New Roman" w:hAnsi="Univers" w:cs="Times New Roman"/>
          <w:b/>
          <w:bCs/>
          <w:sz w:val="24"/>
          <w:szCs w:val="24"/>
          <w:lang w:val="fr-FR" w:eastAsia="en-NL"/>
        </w:rPr>
        <w:t>é</w:t>
      </w:r>
      <w:r w:rsidR="006F51C3" w:rsidRPr="00BA3EC9">
        <w:rPr>
          <w:rStyle w:val="jlqj4b"/>
          <w:rFonts w:ascii="Univers" w:hAnsi="Univers"/>
          <w:b/>
          <w:bCs/>
          <w:sz w:val="24"/>
          <w:szCs w:val="24"/>
          <w:lang w:val="fr-FR"/>
        </w:rPr>
        <w:t xml:space="preserve"> </w:t>
      </w:r>
    </w:p>
    <w:p w14:paraId="7DF59C95" w14:textId="1B338503" w:rsidR="006F51C3" w:rsidRPr="00BA3EC9" w:rsidRDefault="00494BE9" w:rsidP="00494BE9">
      <w:pPr>
        <w:jc w:val="both"/>
        <w:rPr>
          <w:rStyle w:val="jlqj4b"/>
          <w:rFonts w:ascii="Univers" w:hAnsi="Univers"/>
          <w:sz w:val="24"/>
          <w:szCs w:val="24"/>
          <w:lang w:val="fr-FR"/>
        </w:rPr>
      </w:pPr>
      <w:r w:rsidRPr="00BA3EC9">
        <w:rPr>
          <w:rStyle w:val="jlqj4b"/>
          <w:rFonts w:ascii="Univers" w:hAnsi="Univers"/>
          <w:sz w:val="24"/>
          <w:szCs w:val="24"/>
          <w:lang w:val="fr-FR"/>
        </w:rPr>
        <w:t>Reconnaissant</w:t>
      </w:r>
      <w:r w:rsidR="002A1457">
        <w:rPr>
          <w:rStyle w:val="jlqj4b"/>
          <w:rFonts w:ascii="Univers" w:hAnsi="Univers"/>
          <w:sz w:val="24"/>
          <w:szCs w:val="24"/>
          <w:lang w:val="fr-FR"/>
        </w:rPr>
        <w:t>e</w:t>
      </w:r>
      <w:r w:rsidRPr="00BA3EC9">
        <w:rPr>
          <w:rStyle w:val="jlqj4b"/>
          <w:rFonts w:ascii="Univers" w:hAnsi="Univers"/>
          <w:sz w:val="24"/>
          <w:szCs w:val="24"/>
          <w:lang w:val="fr-FR"/>
        </w:rPr>
        <w:t xml:space="preserve"> que les lois sur le droit d'auteur varient d'un pays à l'autre, l'IFLA fournit les principes suivants relatifs à la mise en œuvre du </w:t>
      </w:r>
      <w:r w:rsidR="00BA3EC9">
        <w:rPr>
          <w:rStyle w:val="jlqj4b"/>
          <w:rFonts w:ascii="Univers" w:hAnsi="Univers"/>
          <w:sz w:val="24"/>
          <w:szCs w:val="24"/>
          <w:lang w:val="fr-FR"/>
        </w:rPr>
        <w:t>PNC</w:t>
      </w:r>
      <w:r w:rsidRPr="00BA3EC9">
        <w:rPr>
          <w:rStyle w:val="jlqj4b"/>
          <w:rFonts w:ascii="Univers" w:hAnsi="Univers"/>
          <w:sz w:val="24"/>
          <w:szCs w:val="24"/>
          <w:lang w:val="fr-FR"/>
        </w:rPr>
        <w:t xml:space="preserve"> dans les bibliothèques du monde entier. Chaque principe, en soi, devrait être reflété dans les lois nationales et les bibliothèques devraient chercher à poursuivre ces principes </w:t>
      </w:r>
      <w:r w:rsidRPr="00923A71">
        <w:rPr>
          <w:rStyle w:val="jlqj4b"/>
          <w:rFonts w:ascii="Univers" w:hAnsi="Univers"/>
          <w:sz w:val="24"/>
          <w:szCs w:val="24"/>
          <w:lang w:val="fr-FR"/>
        </w:rPr>
        <w:t>avec les décideur</w:t>
      </w:r>
      <w:r w:rsidR="00923A71" w:rsidRPr="00923A71">
        <w:rPr>
          <w:rStyle w:val="jlqj4b"/>
          <w:rFonts w:ascii="Univers" w:hAnsi="Univers" w:cs="Calibri"/>
          <w:sz w:val="24"/>
          <w:szCs w:val="24"/>
          <w:lang w:val="fr-FR"/>
        </w:rPr>
        <w:t>s et d</w:t>
      </w:r>
      <w:r w:rsidR="00923A71" w:rsidRPr="00923A71">
        <w:rPr>
          <w:rStyle w:val="jlqj4b"/>
          <w:rFonts w:ascii="Univers" w:hAnsi="Univers"/>
          <w:sz w:val="24"/>
          <w:szCs w:val="24"/>
          <w:lang w:val="fr-FR"/>
        </w:rPr>
        <w:t>é</w:t>
      </w:r>
      <w:r w:rsidR="00923A71" w:rsidRPr="00923A71">
        <w:rPr>
          <w:rStyle w:val="jlqj4b"/>
          <w:rFonts w:ascii="Univers" w:hAnsi="Univers" w:cs="Calibri"/>
          <w:sz w:val="24"/>
          <w:szCs w:val="24"/>
          <w:lang w:val="fr-FR"/>
        </w:rPr>
        <w:t>cideuses</w:t>
      </w:r>
      <w:r w:rsidR="00923A71">
        <w:rPr>
          <w:rStyle w:val="jlqj4b"/>
          <w:rFonts w:ascii="Univers" w:hAnsi="Univers" w:cs="Calibri"/>
          <w:sz w:val="24"/>
          <w:szCs w:val="24"/>
          <w:lang w:val="fr-FR"/>
        </w:rPr>
        <w:t>,</w:t>
      </w:r>
      <w:r w:rsidR="002A1457">
        <w:rPr>
          <w:rStyle w:val="jlqj4b"/>
          <w:rFonts w:ascii="Univers" w:hAnsi="Univers"/>
          <w:sz w:val="24"/>
          <w:szCs w:val="24"/>
          <w:lang w:val="fr-FR"/>
        </w:rPr>
        <w:t xml:space="preserve"> </w:t>
      </w:r>
      <w:r w:rsidRPr="00BA3EC9">
        <w:rPr>
          <w:rStyle w:val="jlqj4b"/>
          <w:rFonts w:ascii="Univers" w:hAnsi="Univers"/>
          <w:sz w:val="24"/>
          <w:szCs w:val="24"/>
          <w:lang w:val="fr-FR"/>
        </w:rPr>
        <w:t xml:space="preserve">là où </w:t>
      </w:r>
      <w:r w:rsidR="00923A71">
        <w:rPr>
          <w:rStyle w:val="jlqj4b"/>
          <w:rFonts w:ascii="Univers" w:hAnsi="Univers"/>
          <w:sz w:val="24"/>
          <w:szCs w:val="24"/>
          <w:lang w:val="fr-FR"/>
        </w:rPr>
        <w:t>ils</w:t>
      </w:r>
      <w:r w:rsidRPr="00BA3EC9">
        <w:rPr>
          <w:rStyle w:val="jlqj4b"/>
          <w:rFonts w:ascii="Univers" w:hAnsi="Univers"/>
          <w:sz w:val="24"/>
          <w:szCs w:val="24"/>
          <w:lang w:val="fr-FR"/>
        </w:rPr>
        <w:t xml:space="preserve"> ne le sont pas. Collectivement, ils fournissent une base suffisante pour permettre des prêts numériques contrôlés. </w:t>
      </w:r>
    </w:p>
    <w:p w14:paraId="5026142F" w14:textId="099C0400" w:rsidR="006F51C3" w:rsidRPr="00BA3EC9" w:rsidRDefault="00494BE9" w:rsidP="006F51C3">
      <w:pPr>
        <w:pStyle w:val="ListParagraph"/>
        <w:numPr>
          <w:ilvl w:val="0"/>
          <w:numId w:val="2"/>
        </w:numPr>
        <w:jc w:val="both"/>
        <w:rPr>
          <w:rStyle w:val="jlqj4b"/>
          <w:rFonts w:ascii="Univers" w:hAnsi="Univers"/>
          <w:b/>
          <w:bCs/>
          <w:sz w:val="24"/>
          <w:szCs w:val="24"/>
          <w:lang w:val="fr-FR"/>
        </w:rPr>
      </w:pPr>
      <w:r w:rsidRPr="00BA3EC9">
        <w:rPr>
          <w:rStyle w:val="jlqj4b"/>
          <w:rFonts w:ascii="Univers" w:hAnsi="Univers"/>
          <w:b/>
          <w:bCs/>
          <w:sz w:val="24"/>
          <w:szCs w:val="24"/>
          <w:lang w:val="fr-FR"/>
        </w:rPr>
        <w:t xml:space="preserve">La liberté d'acquérir et de prêter représente une fonction essentielle du travail des bibliothèques </w:t>
      </w:r>
    </w:p>
    <w:p w14:paraId="23C65530" w14:textId="77777777" w:rsidR="006F51C3" w:rsidRPr="00BA3EC9" w:rsidRDefault="00494BE9" w:rsidP="00494BE9">
      <w:pPr>
        <w:jc w:val="both"/>
        <w:rPr>
          <w:rStyle w:val="jlqj4b"/>
          <w:rFonts w:ascii="Univers" w:hAnsi="Univers"/>
          <w:sz w:val="24"/>
          <w:szCs w:val="24"/>
          <w:lang w:val="fr-FR"/>
        </w:rPr>
      </w:pPr>
      <w:r w:rsidRPr="00BA3EC9">
        <w:rPr>
          <w:rStyle w:val="jlqj4b"/>
          <w:rFonts w:ascii="Univers" w:hAnsi="Univers"/>
          <w:sz w:val="24"/>
          <w:szCs w:val="24"/>
          <w:lang w:val="fr-FR"/>
        </w:rPr>
        <w:t xml:space="preserve">La liberté d'acquérir n'importe quel livre ou autre matériel de son choix et de le prêter ensuite représente un moyen essentiel pour les bibliothèques de remplir leur mission de soutien à l'éducation, à la recherche et à l'accès à la culture. </w:t>
      </w:r>
    </w:p>
    <w:p w14:paraId="381F8F21" w14:textId="16CF2F3F" w:rsidR="006F51C3" w:rsidRPr="00BA3EC9" w:rsidRDefault="00494BE9" w:rsidP="00494BE9">
      <w:pPr>
        <w:jc w:val="both"/>
        <w:rPr>
          <w:rStyle w:val="jlqj4b"/>
          <w:rFonts w:ascii="Univers" w:hAnsi="Univers"/>
          <w:sz w:val="24"/>
          <w:szCs w:val="24"/>
          <w:lang w:val="fr-FR"/>
        </w:rPr>
      </w:pPr>
      <w:r w:rsidRPr="00BA3EC9">
        <w:rPr>
          <w:rStyle w:val="jlqj4b"/>
          <w:rFonts w:ascii="Univers" w:hAnsi="Univers"/>
          <w:sz w:val="24"/>
          <w:szCs w:val="24"/>
          <w:lang w:val="fr-FR"/>
        </w:rPr>
        <w:t>Le prêt comble une lacune dans les situations où l'achat d'une œuvre n'est pas approprié – par exemple parce q</w:t>
      </w:r>
      <w:r w:rsidR="00923A71">
        <w:rPr>
          <w:rStyle w:val="jlqj4b"/>
          <w:rFonts w:ascii="Univers" w:hAnsi="Univers"/>
          <w:sz w:val="24"/>
          <w:szCs w:val="24"/>
          <w:lang w:val="fr-FR"/>
        </w:rPr>
        <w:t>u’une personne</w:t>
      </w:r>
      <w:r w:rsidRPr="00BA3EC9">
        <w:rPr>
          <w:rStyle w:val="jlqj4b"/>
          <w:rFonts w:ascii="Univers" w:hAnsi="Univers"/>
          <w:sz w:val="24"/>
          <w:szCs w:val="24"/>
          <w:lang w:val="fr-FR"/>
        </w:rPr>
        <w:t xml:space="preserve"> n'</w:t>
      </w:r>
      <w:r w:rsidR="00923A71">
        <w:rPr>
          <w:rStyle w:val="jlqj4b"/>
          <w:rFonts w:ascii="Univers" w:hAnsi="Univers"/>
          <w:sz w:val="24"/>
          <w:szCs w:val="24"/>
          <w:lang w:val="fr-FR"/>
        </w:rPr>
        <w:t>a</w:t>
      </w:r>
      <w:r w:rsidRPr="00BA3EC9">
        <w:rPr>
          <w:rStyle w:val="jlqj4b"/>
          <w:rFonts w:ascii="Univers" w:hAnsi="Univers"/>
          <w:sz w:val="24"/>
          <w:szCs w:val="24"/>
          <w:lang w:val="fr-FR"/>
        </w:rPr>
        <w:t xml:space="preserve"> besoin d'utiliser qu'une petite partie d'une œuvre, parce qu'</w:t>
      </w:r>
      <w:r w:rsidR="00923A71">
        <w:rPr>
          <w:rStyle w:val="jlqj4b"/>
          <w:rFonts w:ascii="Univers" w:hAnsi="Univers"/>
          <w:sz w:val="24"/>
          <w:szCs w:val="24"/>
          <w:lang w:val="fr-FR"/>
        </w:rPr>
        <w:t xml:space="preserve">elle </w:t>
      </w:r>
      <w:r w:rsidRPr="00BA3EC9">
        <w:rPr>
          <w:rStyle w:val="jlqj4b"/>
          <w:rFonts w:ascii="Univers" w:hAnsi="Univers"/>
          <w:sz w:val="24"/>
          <w:szCs w:val="24"/>
          <w:lang w:val="fr-FR"/>
        </w:rPr>
        <w:t>teste un nouvel auteur ou parce qu'</w:t>
      </w:r>
      <w:r w:rsidR="00923A71">
        <w:rPr>
          <w:rStyle w:val="jlqj4b"/>
          <w:rFonts w:ascii="Univers" w:hAnsi="Univers"/>
          <w:sz w:val="24"/>
          <w:szCs w:val="24"/>
          <w:lang w:val="fr-FR"/>
        </w:rPr>
        <w:t xml:space="preserve">elle </w:t>
      </w:r>
      <w:r w:rsidRPr="00BA3EC9">
        <w:rPr>
          <w:rStyle w:val="jlqj4b"/>
          <w:rFonts w:ascii="Univers" w:hAnsi="Univers"/>
          <w:sz w:val="24"/>
          <w:szCs w:val="24"/>
          <w:lang w:val="fr-FR"/>
        </w:rPr>
        <w:t>n'</w:t>
      </w:r>
      <w:r w:rsidR="00923A71">
        <w:rPr>
          <w:rStyle w:val="jlqj4b"/>
          <w:rFonts w:ascii="Univers" w:hAnsi="Univers"/>
          <w:sz w:val="24"/>
          <w:szCs w:val="24"/>
          <w:lang w:val="fr-FR"/>
        </w:rPr>
        <w:t>a</w:t>
      </w:r>
      <w:r w:rsidRPr="00BA3EC9">
        <w:rPr>
          <w:rStyle w:val="jlqj4b"/>
          <w:rFonts w:ascii="Univers" w:hAnsi="Univers"/>
          <w:sz w:val="24"/>
          <w:szCs w:val="24"/>
          <w:lang w:val="fr-FR"/>
        </w:rPr>
        <w:t xml:space="preserve"> pas les ressources pour acheter l'ensemble </w:t>
      </w:r>
      <w:r w:rsidR="00BA3EC9" w:rsidRPr="00BA3EC9">
        <w:rPr>
          <w:rStyle w:val="jlqj4b"/>
          <w:rFonts w:ascii="Univers" w:hAnsi="Univers"/>
          <w:sz w:val="24"/>
          <w:szCs w:val="24"/>
          <w:lang w:val="fr-FR"/>
        </w:rPr>
        <w:t>de l’</w:t>
      </w:r>
      <w:r w:rsidR="00923A71" w:rsidRPr="00BA3EC9">
        <w:rPr>
          <w:rStyle w:val="jlqj4b"/>
          <w:rFonts w:ascii="Univers" w:hAnsi="Univers"/>
          <w:sz w:val="24"/>
          <w:szCs w:val="24"/>
          <w:lang w:val="fr-FR"/>
        </w:rPr>
        <w:t>œuvre</w:t>
      </w:r>
      <w:r w:rsidRPr="00BA3EC9">
        <w:rPr>
          <w:rStyle w:val="jlqj4b"/>
          <w:rFonts w:ascii="Univers" w:hAnsi="Univers"/>
          <w:sz w:val="24"/>
          <w:szCs w:val="24"/>
          <w:lang w:val="fr-FR"/>
        </w:rPr>
        <w:t>, etc. Il existe de nombreuses preuves que le prêt contribue aux ventes futures</w:t>
      </w:r>
      <w:r w:rsidR="00BF6214">
        <w:rPr>
          <w:rStyle w:val="FootnoteReference"/>
          <w:rFonts w:ascii="Univers" w:hAnsi="Univers"/>
          <w:sz w:val="24"/>
          <w:szCs w:val="24"/>
          <w:lang w:val="fr-FR"/>
        </w:rPr>
        <w:footnoteReference w:id="11"/>
      </w:r>
      <w:r w:rsidRPr="00BA3EC9">
        <w:rPr>
          <w:rStyle w:val="jlqj4b"/>
          <w:rFonts w:ascii="Univers" w:hAnsi="Univers"/>
          <w:sz w:val="24"/>
          <w:szCs w:val="24"/>
          <w:lang w:val="fr-FR"/>
        </w:rPr>
        <w:t xml:space="preserve">. Le prêt aide également à former </w:t>
      </w:r>
      <w:r w:rsidRPr="00923A71">
        <w:rPr>
          <w:rStyle w:val="jlqj4b"/>
          <w:rFonts w:ascii="Univers" w:hAnsi="Univers"/>
          <w:sz w:val="24"/>
          <w:szCs w:val="24"/>
          <w:lang w:val="fr-FR"/>
        </w:rPr>
        <w:t>les lecteu</w:t>
      </w:r>
      <w:r w:rsidR="00923A71" w:rsidRPr="00923A71">
        <w:rPr>
          <w:rStyle w:val="jlqj4b"/>
          <w:rFonts w:ascii="Univers" w:hAnsi="Univers"/>
          <w:sz w:val="24"/>
          <w:szCs w:val="24"/>
          <w:lang w:val="fr-FR"/>
        </w:rPr>
        <w:t>rs et lectrice</w:t>
      </w:r>
      <w:r w:rsidRPr="00923A71">
        <w:rPr>
          <w:rStyle w:val="jlqj4b"/>
          <w:rFonts w:ascii="Univers" w:hAnsi="Univers"/>
          <w:sz w:val="24"/>
          <w:szCs w:val="24"/>
          <w:lang w:val="fr-FR"/>
        </w:rPr>
        <w:t>s, les chercheur</w:t>
      </w:r>
      <w:r w:rsidR="00923A71" w:rsidRPr="00923A71">
        <w:rPr>
          <w:rStyle w:val="jlqj4b"/>
          <w:rFonts w:ascii="Univers" w:hAnsi="Univers" w:cs="Calibri"/>
          <w:sz w:val="24"/>
          <w:szCs w:val="24"/>
          <w:lang w:val="fr-FR"/>
        </w:rPr>
        <w:t>s et chercheuses</w:t>
      </w:r>
      <w:r w:rsidRPr="00923A71">
        <w:rPr>
          <w:rStyle w:val="jlqj4b"/>
          <w:rFonts w:ascii="Univers" w:hAnsi="Univers"/>
          <w:sz w:val="24"/>
          <w:szCs w:val="24"/>
          <w:lang w:val="fr-FR"/>
        </w:rPr>
        <w:t xml:space="preserve"> et les </w:t>
      </w:r>
      <w:r w:rsidR="00923A71" w:rsidRPr="00923A71">
        <w:rPr>
          <w:rStyle w:val="jlqj4b"/>
          <w:rFonts w:ascii="Univers" w:hAnsi="Univers"/>
          <w:sz w:val="24"/>
          <w:szCs w:val="24"/>
          <w:lang w:val="fr-FR"/>
        </w:rPr>
        <w:t>auteur</w:t>
      </w:r>
      <w:r w:rsidR="00923A71" w:rsidRPr="00923A71">
        <w:rPr>
          <w:rStyle w:val="jlqj4b"/>
          <w:rFonts w:ascii="Univers" w:hAnsi="Univers" w:cs="Calibri"/>
          <w:sz w:val="24"/>
          <w:szCs w:val="24"/>
          <w:lang w:val="fr-FR"/>
        </w:rPr>
        <w:t>s et aut</w:t>
      </w:r>
      <w:r w:rsidR="00923A71" w:rsidRPr="00923A71">
        <w:rPr>
          <w:rStyle w:val="jlqj4b"/>
          <w:rFonts w:ascii="Univers" w:hAnsi="Univers"/>
          <w:sz w:val="24"/>
          <w:szCs w:val="24"/>
          <w:lang w:val="fr-FR"/>
        </w:rPr>
        <w:t>rices</w:t>
      </w:r>
      <w:r w:rsidRPr="00923A71">
        <w:rPr>
          <w:rStyle w:val="jlqj4b"/>
          <w:rFonts w:ascii="Univers" w:hAnsi="Univers"/>
          <w:sz w:val="24"/>
          <w:szCs w:val="24"/>
          <w:lang w:val="fr-FR"/>
        </w:rPr>
        <w:t xml:space="preserve"> du f</w:t>
      </w:r>
      <w:r w:rsidRPr="00BA3EC9">
        <w:rPr>
          <w:rStyle w:val="jlqj4b"/>
          <w:rFonts w:ascii="Univers" w:hAnsi="Univers"/>
          <w:sz w:val="24"/>
          <w:szCs w:val="24"/>
          <w:lang w:val="fr-FR"/>
        </w:rPr>
        <w:t xml:space="preserve">utur, en contribuant à l'innovation et à la créativité. </w:t>
      </w:r>
    </w:p>
    <w:p w14:paraId="093F543E" w14:textId="04FA77C0" w:rsidR="00494BE9" w:rsidRPr="00BA3EC9" w:rsidRDefault="00494BE9" w:rsidP="00494BE9">
      <w:pPr>
        <w:jc w:val="both"/>
        <w:rPr>
          <w:rStyle w:val="jlqj4b"/>
          <w:rFonts w:ascii="Univers" w:hAnsi="Univers"/>
          <w:sz w:val="24"/>
          <w:szCs w:val="24"/>
          <w:lang w:val="fr-FR"/>
        </w:rPr>
      </w:pPr>
      <w:r w:rsidRPr="00BA3EC9">
        <w:rPr>
          <w:rStyle w:val="jlqj4b"/>
          <w:rFonts w:ascii="Univers" w:hAnsi="Univers"/>
          <w:sz w:val="24"/>
          <w:szCs w:val="24"/>
          <w:lang w:val="fr-FR"/>
        </w:rPr>
        <w:t>Il est important de noter que le prêt ne représente pas un droit exclusif en vertu du droit international</w:t>
      </w:r>
      <w:r w:rsidR="00BF6214">
        <w:rPr>
          <w:rStyle w:val="FootnoteReference"/>
          <w:rFonts w:ascii="Univers" w:hAnsi="Univers"/>
          <w:sz w:val="24"/>
          <w:szCs w:val="24"/>
          <w:lang w:val="fr-FR"/>
        </w:rPr>
        <w:footnoteReference w:id="12"/>
      </w:r>
      <w:r w:rsidRPr="00BA3EC9">
        <w:rPr>
          <w:rStyle w:val="jlqj4b"/>
          <w:rFonts w:ascii="Univers" w:hAnsi="Univers"/>
          <w:sz w:val="24"/>
          <w:szCs w:val="24"/>
          <w:lang w:val="fr-FR"/>
        </w:rPr>
        <w:t xml:space="preserve"> et, dans la plupart des pays, il a lieu en vertu de la doctrine de l'épuisement ou du principe de la première vente. Dans les pays où les droits </w:t>
      </w:r>
      <w:r w:rsidRPr="00BA3EC9">
        <w:rPr>
          <w:rStyle w:val="jlqj4b"/>
          <w:rFonts w:ascii="Univers" w:hAnsi="Univers"/>
          <w:sz w:val="24"/>
          <w:szCs w:val="24"/>
          <w:lang w:val="fr-FR"/>
        </w:rPr>
        <w:lastRenderedPageBreak/>
        <w:t>de prêt figurent dans la législation, les évolutions vers le prêt numérique contrôlé devront en tenir compte</w:t>
      </w:r>
      <w:r w:rsidR="00BF6214">
        <w:rPr>
          <w:rStyle w:val="FootnoteReference"/>
          <w:rFonts w:ascii="Univers" w:hAnsi="Univers"/>
          <w:sz w:val="24"/>
          <w:szCs w:val="24"/>
          <w:lang w:val="fr-FR"/>
        </w:rPr>
        <w:footnoteReference w:id="13"/>
      </w:r>
      <w:r w:rsidRPr="00BA3EC9">
        <w:rPr>
          <w:rStyle w:val="jlqj4b"/>
          <w:rFonts w:ascii="Univers" w:hAnsi="Univers"/>
          <w:sz w:val="24"/>
          <w:szCs w:val="24"/>
          <w:lang w:val="fr-FR"/>
        </w:rPr>
        <w:t>.</w:t>
      </w:r>
    </w:p>
    <w:p w14:paraId="23376302" w14:textId="1EDE1181" w:rsidR="00BA3EC9" w:rsidRPr="00BA3EC9" w:rsidRDefault="00BA3EC9" w:rsidP="00BA3EC9">
      <w:pPr>
        <w:pStyle w:val="ListParagraph"/>
        <w:numPr>
          <w:ilvl w:val="0"/>
          <w:numId w:val="2"/>
        </w:numPr>
        <w:spacing w:before="240" w:after="240"/>
        <w:jc w:val="both"/>
        <w:rPr>
          <w:rStyle w:val="jlqj4b"/>
          <w:rFonts w:ascii="Univers" w:hAnsi="Univers"/>
          <w:b/>
          <w:bCs/>
          <w:sz w:val="24"/>
          <w:szCs w:val="24"/>
          <w:lang w:val="fr-FR"/>
        </w:rPr>
      </w:pPr>
      <w:r w:rsidRPr="00BA3EC9">
        <w:rPr>
          <w:rStyle w:val="jlqj4b"/>
          <w:rFonts w:ascii="Univers" w:hAnsi="Univers"/>
          <w:b/>
          <w:bCs/>
          <w:sz w:val="24"/>
          <w:szCs w:val="24"/>
          <w:lang w:val="fr-FR"/>
        </w:rPr>
        <w:t xml:space="preserve">Les usages numériques doivent avoir au moins la même flexibilité que les usages physiques </w:t>
      </w:r>
    </w:p>
    <w:p w14:paraId="47FC111F" w14:textId="77777777" w:rsidR="00BF6214" w:rsidRDefault="00BA3EC9" w:rsidP="00BA3EC9">
      <w:pPr>
        <w:spacing w:before="240" w:after="240"/>
        <w:jc w:val="both"/>
        <w:rPr>
          <w:rStyle w:val="jlqj4b"/>
          <w:rFonts w:ascii="Univers" w:hAnsi="Univers"/>
          <w:sz w:val="24"/>
          <w:szCs w:val="24"/>
          <w:lang w:val="fr-FR"/>
        </w:rPr>
      </w:pPr>
      <w:r w:rsidRPr="00BA3EC9">
        <w:rPr>
          <w:rStyle w:val="jlqj4b"/>
          <w:rFonts w:ascii="Univers" w:hAnsi="Univers"/>
          <w:sz w:val="24"/>
          <w:szCs w:val="24"/>
          <w:lang w:val="fr-FR"/>
        </w:rPr>
        <w:t xml:space="preserve">Bien que les idées derrière le droit d'auteur soient fermement ancrées dans l'ère analogique, elles doivent suivre les nouveaux usages. Si cela ne se produit pas, il existe un risque que le droit d'auteur ne parvienne pas à atteindre les objectifs d'intérêt public qu'il vise à atteindre. En Europe, au moins, cet argument a été utilisé dans l'arrêt VOB contre </w:t>
      </w:r>
      <w:proofErr w:type="spellStart"/>
      <w:r w:rsidRPr="00BA3EC9">
        <w:rPr>
          <w:rStyle w:val="jlqj4b"/>
          <w:rFonts w:ascii="Univers" w:hAnsi="Univers"/>
          <w:sz w:val="24"/>
          <w:szCs w:val="24"/>
          <w:lang w:val="fr-FR"/>
        </w:rPr>
        <w:t>Stichting</w:t>
      </w:r>
      <w:proofErr w:type="spellEnd"/>
      <w:r w:rsidRPr="00BA3EC9">
        <w:rPr>
          <w:rStyle w:val="jlqj4b"/>
          <w:rFonts w:ascii="Univers" w:hAnsi="Univers"/>
          <w:sz w:val="24"/>
          <w:szCs w:val="24"/>
          <w:lang w:val="fr-FR"/>
        </w:rPr>
        <w:t xml:space="preserve"> </w:t>
      </w:r>
      <w:proofErr w:type="spellStart"/>
      <w:r w:rsidRPr="00BA3EC9">
        <w:rPr>
          <w:rStyle w:val="jlqj4b"/>
          <w:rFonts w:ascii="Univers" w:hAnsi="Univers"/>
          <w:sz w:val="24"/>
          <w:szCs w:val="24"/>
          <w:lang w:val="fr-FR"/>
        </w:rPr>
        <w:t>Leenrecht</w:t>
      </w:r>
      <w:proofErr w:type="spellEnd"/>
      <w:r w:rsidR="00BF6214">
        <w:rPr>
          <w:rStyle w:val="FootnoteReference"/>
          <w:rFonts w:ascii="Univers" w:hAnsi="Univers"/>
          <w:sz w:val="24"/>
          <w:szCs w:val="24"/>
          <w:lang w:val="fr-FR"/>
        </w:rPr>
        <w:footnoteReference w:id="14"/>
      </w:r>
      <w:r w:rsidRPr="00BA3EC9">
        <w:rPr>
          <w:rStyle w:val="jlqj4b"/>
          <w:rFonts w:ascii="Univers" w:hAnsi="Univers"/>
          <w:sz w:val="24"/>
          <w:szCs w:val="24"/>
          <w:lang w:val="fr-FR"/>
        </w:rPr>
        <w:t xml:space="preserve"> pour justifier la décision selon laquelle les livres électroniques relevaient des règles existantes pour le prêt des bibliothèques. </w:t>
      </w:r>
    </w:p>
    <w:p w14:paraId="466E6992" w14:textId="6D9172A0" w:rsidR="00BF6214" w:rsidRDefault="00BA3EC9" w:rsidP="00BA3EC9">
      <w:pPr>
        <w:spacing w:before="240" w:after="240"/>
        <w:jc w:val="both"/>
        <w:rPr>
          <w:rStyle w:val="jlqj4b"/>
          <w:rFonts w:ascii="Univers" w:hAnsi="Univers"/>
          <w:sz w:val="24"/>
          <w:szCs w:val="24"/>
          <w:lang w:val="fr-FR"/>
        </w:rPr>
      </w:pPr>
      <w:r w:rsidRPr="00BA3EC9">
        <w:rPr>
          <w:rStyle w:val="jlqj4b"/>
          <w:rFonts w:ascii="Univers" w:hAnsi="Univers"/>
          <w:sz w:val="24"/>
          <w:szCs w:val="24"/>
          <w:lang w:val="fr-FR"/>
        </w:rPr>
        <w:t>Pour l'IFLA, cette « neutralité technologique » devrait également protéger contre l'utilisation délibérée ou par inadvertance des clauses contractuelles et des mesures de protection technologique pour empêcher les utilisations légitimes des œuvres dans le cadre des exceptions et limitations</w:t>
      </w:r>
      <w:r w:rsidR="00C11752">
        <w:rPr>
          <w:rStyle w:val="jlqj4b"/>
          <w:rFonts w:ascii="Univers" w:hAnsi="Univers"/>
          <w:sz w:val="24"/>
          <w:szCs w:val="24"/>
          <w:lang w:val="fr-FR"/>
        </w:rPr>
        <w:t xml:space="preserve"> au droit d’auteur. </w:t>
      </w:r>
    </w:p>
    <w:p w14:paraId="6895D71B" w14:textId="7BE9607E" w:rsidR="00BA3EC9" w:rsidRPr="00BA3EC9" w:rsidRDefault="00BA3EC9" w:rsidP="00BA3EC9">
      <w:pPr>
        <w:spacing w:before="240" w:after="240"/>
        <w:jc w:val="both"/>
        <w:rPr>
          <w:rStyle w:val="jlqj4b"/>
          <w:rFonts w:ascii="Univers" w:hAnsi="Univers"/>
          <w:sz w:val="24"/>
          <w:szCs w:val="24"/>
          <w:lang w:val="fr-FR"/>
        </w:rPr>
      </w:pPr>
      <w:r w:rsidRPr="00BA3EC9">
        <w:rPr>
          <w:rStyle w:val="jlqj4b"/>
          <w:rFonts w:ascii="Univers" w:hAnsi="Univers"/>
          <w:sz w:val="24"/>
          <w:szCs w:val="24"/>
          <w:lang w:val="fr-FR"/>
        </w:rPr>
        <w:t xml:space="preserve">Cela devrait donc signifier que les bibliothèques sont en mesure – soit en vertu du principe d'épuisement, soit en vertu d'une exception de prêt – de numériser et de prêter des œuvres par voie électronique de la même manière qu'elles le font physiquement. Dans le cas du prêt électronique, tant que les principes fondamentaux de la </w:t>
      </w:r>
      <w:r>
        <w:rPr>
          <w:rStyle w:val="jlqj4b"/>
          <w:rFonts w:ascii="Univers" w:hAnsi="Univers"/>
          <w:sz w:val="24"/>
          <w:szCs w:val="24"/>
          <w:lang w:val="fr-FR"/>
        </w:rPr>
        <w:t xml:space="preserve">PNC </w:t>
      </w:r>
      <w:r w:rsidRPr="00BA3EC9">
        <w:rPr>
          <w:rStyle w:val="jlqj4b"/>
          <w:rFonts w:ascii="Univers" w:hAnsi="Univers"/>
          <w:sz w:val="24"/>
          <w:szCs w:val="24"/>
          <w:lang w:val="fr-FR"/>
        </w:rPr>
        <w:t>sont respectés - tels que des périodes de prêt limitées et l'utilisation d'un ratio strict propriété/prêt, appliqué par des mesures de protection technologiques - la numérisation et le prêt ultérieur des livre</w:t>
      </w:r>
      <w:r w:rsidRPr="00BA3EC9">
        <w:rPr>
          <w:rStyle w:val="jlqj4b"/>
          <w:rFonts w:ascii="Univers" w:hAnsi="Univers"/>
          <w:sz w:val="24"/>
          <w:szCs w:val="24"/>
          <w:lang w:val="fr-FR"/>
        </w:rPr>
        <w:t>s</w:t>
      </w:r>
      <w:r w:rsidRPr="00BA3EC9">
        <w:rPr>
          <w:rStyle w:val="jlqj4b"/>
          <w:rFonts w:ascii="Univers" w:hAnsi="Univers"/>
          <w:sz w:val="24"/>
          <w:szCs w:val="24"/>
          <w:lang w:val="fr-FR"/>
        </w:rPr>
        <w:t xml:space="preserve"> électronique</w:t>
      </w:r>
      <w:r w:rsidRPr="00BA3EC9">
        <w:rPr>
          <w:rStyle w:val="jlqj4b"/>
          <w:rFonts w:ascii="Univers" w:hAnsi="Univers"/>
          <w:sz w:val="24"/>
          <w:szCs w:val="24"/>
          <w:lang w:val="fr-FR"/>
        </w:rPr>
        <w:t>s</w:t>
      </w:r>
      <w:r w:rsidRPr="00BA3EC9">
        <w:rPr>
          <w:rStyle w:val="jlqj4b"/>
          <w:rFonts w:ascii="Univers" w:hAnsi="Univers"/>
          <w:sz w:val="24"/>
          <w:szCs w:val="24"/>
          <w:lang w:val="fr-FR"/>
        </w:rPr>
        <w:t xml:space="preserve"> devrait être acceptable. L'IFLA pense qu'à la suite de l'arrêt VOB contre </w:t>
      </w:r>
      <w:proofErr w:type="spellStart"/>
      <w:r w:rsidRPr="00BA3EC9">
        <w:rPr>
          <w:rStyle w:val="jlqj4b"/>
          <w:rFonts w:ascii="Univers" w:hAnsi="Univers"/>
          <w:sz w:val="24"/>
          <w:szCs w:val="24"/>
          <w:lang w:val="fr-FR"/>
        </w:rPr>
        <w:t>Stichting</w:t>
      </w:r>
      <w:proofErr w:type="spellEnd"/>
      <w:r w:rsidRPr="00BA3EC9">
        <w:rPr>
          <w:rStyle w:val="jlqj4b"/>
          <w:rFonts w:ascii="Univers" w:hAnsi="Univers"/>
          <w:sz w:val="24"/>
          <w:szCs w:val="24"/>
          <w:lang w:val="fr-FR"/>
        </w:rPr>
        <w:t xml:space="preserve"> </w:t>
      </w:r>
      <w:proofErr w:type="spellStart"/>
      <w:r w:rsidRPr="00BA3EC9">
        <w:rPr>
          <w:rStyle w:val="jlqj4b"/>
          <w:rFonts w:ascii="Univers" w:hAnsi="Univers"/>
          <w:sz w:val="24"/>
          <w:szCs w:val="24"/>
          <w:lang w:val="fr-FR"/>
        </w:rPr>
        <w:t>Leenrecht</w:t>
      </w:r>
      <w:proofErr w:type="spellEnd"/>
      <w:r w:rsidRPr="00BA3EC9">
        <w:rPr>
          <w:rStyle w:val="jlqj4b"/>
          <w:rFonts w:ascii="Univers" w:hAnsi="Univers"/>
          <w:sz w:val="24"/>
          <w:szCs w:val="24"/>
          <w:lang w:val="fr-FR"/>
        </w:rPr>
        <w:t xml:space="preserve">, dans certains pays de l'UE, cela serait déjà autorisé. </w:t>
      </w:r>
      <w:r>
        <w:rPr>
          <w:rStyle w:val="jlqj4b"/>
          <w:rFonts w:ascii="Univers" w:hAnsi="Univers"/>
          <w:sz w:val="24"/>
          <w:szCs w:val="24"/>
          <w:lang w:val="fr-FR"/>
        </w:rPr>
        <w:t>PNC</w:t>
      </w:r>
      <w:r w:rsidRPr="00BA3EC9">
        <w:rPr>
          <w:rStyle w:val="jlqj4b"/>
          <w:rFonts w:ascii="Univers" w:hAnsi="Univers"/>
          <w:sz w:val="24"/>
          <w:szCs w:val="24"/>
          <w:lang w:val="fr-FR"/>
        </w:rPr>
        <w:t xml:space="preserve"> étend la possibilité d'utilisation à d'autres emplacements. Obliger les usag</w:t>
      </w:r>
      <w:r w:rsidR="00C11752">
        <w:rPr>
          <w:rStyle w:val="jlqj4b"/>
          <w:rFonts w:ascii="Univers" w:hAnsi="Univers"/>
          <w:sz w:val="24"/>
          <w:szCs w:val="24"/>
          <w:lang w:val="fr-FR"/>
        </w:rPr>
        <w:t>e</w:t>
      </w:r>
      <w:r w:rsidRPr="00BA3EC9">
        <w:rPr>
          <w:rStyle w:val="jlqj4b"/>
          <w:rFonts w:ascii="Univers" w:hAnsi="Univers"/>
          <w:sz w:val="24"/>
          <w:szCs w:val="24"/>
          <w:lang w:val="fr-FR"/>
        </w:rPr>
        <w:t>rs</w:t>
      </w:r>
      <w:r w:rsidR="00C11752">
        <w:rPr>
          <w:rStyle w:val="jlqj4b"/>
          <w:rFonts w:ascii="Univers" w:hAnsi="Univers"/>
          <w:sz w:val="24"/>
          <w:szCs w:val="24"/>
          <w:lang w:val="fr-FR"/>
        </w:rPr>
        <w:t xml:space="preserve"> et usagères</w:t>
      </w:r>
      <w:r w:rsidRPr="00BA3EC9">
        <w:rPr>
          <w:rStyle w:val="jlqj4b"/>
          <w:rFonts w:ascii="Univers" w:hAnsi="Univers"/>
          <w:sz w:val="24"/>
          <w:szCs w:val="24"/>
          <w:lang w:val="fr-FR"/>
        </w:rPr>
        <w:t xml:space="preserve"> à se rendre dans les bibliothèques est une source de discrimination envers ceux </w:t>
      </w:r>
      <w:r w:rsidR="00C11752">
        <w:rPr>
          <w:rStyle w:val="jlqj4b"/>
          <w:rFonts w:ascii="Univers" w:hAnsi="Univers"/>
          <w:sz w:val="24"/>
          <w:szCs w:val="24"/>
          <w:lang w:val="fr-FR"/>
        </w:rPr>
        <w:t xml:space="preserve">et celles </w:t>
      </w:r>
      <w:r w:rsidRPr="00BA3EC9">
        <w:rPr>
          <w:rStyle w:val="jlqj4b"/>
          <w:rFonts w:ascii="Univers" w:hAnsi="Univers"/>
          <w:sz w:val="24"/>
          <w:szCs w:val="24"/>
          <w:lang w:val="fr-FR"/>
        </w:rPr>
        <w:t xml:space="preserve">qui sont moins mobiles ou qui vivent dans des zones reculées. </w:t>
      </w:r>
    </w:p>
    <w:p w14:paraId="1AAA3AD4" w14:textId="0F9FA7A4" w:rsidR="00BA3EC9" w:rsidRPr="00BA3EC9" w:rsidRDefault="00BA3EC9" w:rsidP="00BA3EC9">
      <w:pPr>
        <w:pStyle w:val="ListParagraph"/>
        <w:numPr>
          <w:ilvl w:val="0"/>
          <w:numId w:val="2"/>
        </w:numPr>
        <w:spacing w:before="240" w:after="240"/>
        <w:jc w:val="both"/>
        <w:rPr>
          <w:rStyle w:val="jlqj4b"/>
          <w:rFonts w:ascii="Univers" w:hAnsi="Univers"/>
          <w:b/>
          <w:bCs/>
          <w:sz w:val="24"/>
          <w:szCs w:val="24"/>
          <w:lang w:val="fr-FR"/>
        </w:rPr>
      </w:pPr>
      <w:r w:rsidRPr="00BA3EC9">
        <w:rPr>
          <w:rStyle w:val="jlqj4b"/>
          <w:rFonts w:ascii="Univers" w:hAnsi="Univers"/>
          <w:b/>
          <w:bCs/>
          <w:sz w:val="24"/>
          <w:szCs w:val="24"/>
          <w:lang w:val="fr-FR"/>
        </w:rPr>
        <w:t xml:space="preserve">Il est acceptable d'utiliser plus d'une exception ou limitation à la fois </w:t>
      </w:r>
    </w:p>
    <w:p w14:paraId="3A5789AC" w14:textId="4E584040" w:rsidR="00BA3EC9" w:rsidRPr="00BA3EC9" w:rsidRDefault="00BA3EC9" w:rsidP="00BA3EC9">
      <w:pPr>
        <w:spacing w:before="240" w:after="240"/>
        <w:jc w:val="both"/>
        <w:rPr>
          <w:rFonts w:ascii="Univers" w:hAnsi="Univers"/>
          <w:sz w:val="24"/>
          <w:szCs w:val="24"/>
        </w:rPr>
      </w:pPr>
      <w:r w:rsidRPr="00BA3EC9">
        <w:rPr>
          <w:rStyle w:val="jlqj4b"/>
          <w:rFonts w:ascii="Univers" w:hAnsi="Univers"/>
          <w:sz w:val="24"/>
          <w:szCs w:val="24"/>
          <w:lang w:val="fr-FR"/>
        </w:rPr>
        <w:lastRenderedPageBreak/>
        <w:t>Les exceptions devront souvent être utilisées conjointement avec d'autres pour être efficaces. Par exemple, effectuer d</w:t>
      </w:r>
      <w:r w:rsidR="00860323">
        <w:rPr>
          <w:rStyle w:val="jlqj4b"/>
          <w:rFonts w:ascii="Univers" w:hAnsi="Univers"/>
          <w:sz w:val="24"/>
          <w:szCs w:val="24"/>
          <w:lang w:val="fr-FR"/>
        </w:rPr>
        <w:t>e la fouille de textes de de données (</w:t>
      </w:r>
      <w:proofErr w:type="spellStart"/>
      <w:r w:rsidRPr="00BA3EC9">
        <w:rPr>
          <w:rStyle w:val="jlqj4b"/>
          <w:rFonts w:ascii="Univers" w:hAnsi="Univers"/>
          <w:sz w:val="24"/>
          <w:szCs w:val="24"/>
          <w:lang w:val="fr-FR"/>
        </w:rPr>
        <w:t>text</w:t>
      </w:r>
      <w:proofErr w:type="spellEnd"/>
      <w:r w:rsidRPr="00BA3EC9">
        <w:rPr>
          <w:rStyle w:val="jlqj4b"/>
          <w:rFonts w:ascii="Univers" w:hAnsi="Univers"/>
          <w:sz w:val="24"/>
          <w:szCs w:val="24"/>
          <w:lang w:val="fr-FR"/>
        </w:rPr>
        <w:t xml:space="preserve"> and data </w:t>
      </w:r>
      <w:proofErr w:type="spellStart"/>
      <w:r w:rsidRPr="00BA3EC9">
        <w:rPr>
          <w:rStyle w:val="jlqj4b"/>
          <w:rFonts w:ascii="Univers" w:hAnsi="Univers"/>
          <w:sz w:val="24"/>
          <w:szCs w:val="24"/>
          <w:lang w:val="fr-FR"/>
        </w:rPr>
        <w:t>mining</w:t>
      </w:r>
      <w:proofErr w:type="spellEnd"/>
      <w:r w:rsidR="00860323">
        <w:rPr>
          <w:rStyle w:val="jlqj4b"/>
          <w:rFonts w:ascii="Univers" w:hAnsi="Univers"/>
          <w:sz w:val="24"/>
          <w:szCs w:val="24"/>
          <w:lang w:val="fr-FR"/>
        </w:rPr>
        <w:t>)</w:t>
      </w:r>
      <w:r w:rsidRPr="00BA3EC9">
        <w:rPr>
          <w:rStyle w:val="jlqj4b"/>
          <w:rFonts w:ascii="Univers" w:hAnsi="Univers"/>
          <w:sz w:val="24"/>
          <w:szCs w:val="24"/>
          <w:lang w:val="fr-FR"/>
        </w:rPr>
        <w:t xml:space="preserve"> à l'aide d'une copie préservée d'une œuvre peut </w:t>
      </w:r>
      <w:r w:rsidR="00860323">
        <w:rPr>
          <w:rStyle w:val="jlqj4b"/>
          <w:rFonts w:ascii="Univers" w:hAnsi="Univers"/>
          <w:sz w:val="24"/>
          <w:szCs w:val="24"/>
          <w:lang w:val="fr-FR"/>
        </w:rPr>
        <w:t xml:space="preserve">impliquer </w:t>
      </w:r>
      <w:r w:rsidRPr="00BA3EC9">
        <w:rPr>
          <w:rStyle w:val="jlqj4b"/>
          <w:rFonts w:ascii="Univers" w:hAnsi="Univers"/>
          <w:sz w:val="24"/>
          <w:szCs w:val="24"/>
          <w:lang w:val="fr-FR"/>
        </w:rPr>
        <w:t>deux exceptions différentes. Il en va de même pour l'accès à une copie numérisée d'une œuvre sur un terminal dédié à l'intérieur d'une bibliothèque, comme le prévoit l'arrêt TU Darmstadt</w:t>
      </w:r>
      <w:r w:rsidR="00BF6214">
        <w:rPr>
          <w:rStyle w:val="FootnoteReference"/>
          <w:rFonts w:ascii="Univers" w:hAnsi="Univers"/>
          <w:sz w:val="24"/>
          <w:szCs w:val="24"/>
          <w:lang w:val="fr-FR"/>
        </w:rPr>
        <w:footnoteReference w:id="15"/>
      </w:r>
      <w:r w:rsidRPr="00BA3EC9">
        <w:rPr>
          <w:rStyle w:val="jlqj4b"/>
          <w:rFonts w:ascii="Univers" w:hAnsi="Univers"/>
          <w:sz w:val="24"/>
          <w:szCs w:val="24"/>
          <w:lang w:val="fr-FR"/>
        </w:rPr>
        <w:t xml:space="preserve"> pour les pays de l'Union européenne. Comme indiqué dans l'arrêt dans cette affaire, les exceptions doivent souvent être combinées à des fins d'intérêt public, pour autant qu'elles restent compatibles avec le test en trois étapes de la Convention de Berne</w:t>
      </w:r>
      <w:r w:rsidR="00752484">
        <w:rPr>
          <w:rStyle w:val="FootnoteReference"/>
          <w:rFonts w:ascii="Univers" w:hAnsi="Univers"/>
          <w:sz w:val="24"/>
          <w:szCs w:val="24"/>
          <w:lang w:val="fr-FR"/>
        </w:rPr>
        <w:footnoteReference w:id="16"/>
      </w:r>
      <w:r w:rsidRPr="00BA3EC9">
        <w:rPr>
          <w:rStyle w:val="jlqj4b"/>
          <w:rFonts w:ascii="Univers" w:hAnsi="Univers"/>
          <w:sz w:val="24"/>
          <w:szCs w:val="24"/>
          <w:lang w:val="fr-FR"/>
        </w:rPr>
        <w:t>.</w:t>
      </w:r>
      <w:r w:rsidRPr="00BA3EC9">
        <w:rPr>
          <w:rFonts w:ascii="Univers" w:hAnsi="Univers"/>
          <w:sz w:val="24"/>
          <w:szCs w:val="24"/>
        </w:rPr>
        <w:t xml:space="preserve"> </w:t>
      </w:r>
    </w:p>
    <w:p w14:paraId="58A45FA0" w14:textId="77777777" w:rsidR="00BA3EC9" w:rsidRPr="00BA3EC9" w:rsidRDefault="00494BE9" w:rsidP="00BA3EC9">
      <w:pPr>
        <w:spacing w:before="240" w:after="240"/>
        <w:jc w:val="both"/>
        <w:rPr>
          <w:rStyle w:val="jlqj4b"/>
          <w:rFonts w:ascii="Univers" w:hAnsi="Univers"/>
          <w:b/>
          <w:bCs/>
          <w:sz w:val="24"/>
          <w:szCs w:val="24"/>
          <w:lang w:val="fr-FR"/>
        </w:rPr>
      </w:pPr>
      <w:r w:rsidRPr="00BA3EC9">
        <w:rPr>
          <w:rStyle w:val="jlqj4b"/>
          <w:rFonts w:ascii="Univers" w:hAnsi="Univers"/>
          <w:b/>
          <w:bCs/>
          <w:sz w:val="24"/>
          <w:szCs w:val="24"/>
          <w:lang w:val="fr-FR"/>
        </w:rPr>
        <w:t xml:space="preserve">Conclusion </w:t>
      </w:r>
    </w:p>
    <w:p w14:paraId="5ACB1687" w14:textId="77777777" w:rsidR="00752484" w:rsidRDefault="00494BE9" w:rsidP="00BA3EC9">
      <w:pPr>
        <w:spacing w:before="240" w:after="240"/>
        <w:jc w:val="both"/>
        <w:rPr>
          <w:rStyle w:val="jlqj4b"/>
          <w:rFonts w:ascii="Univers" w:hAnsi="Univers"/>
          <w:sz w:val="24"/>
          <w:szCs w:val="24"/>
          <w:lang w:val="fr-FR"/>
        </w:rPr>
      </w:pPr>
      <w:r w:rsidRPr="00BA3EC9">
        <w:rPr>
          <w:rStyle w:val="jlqj4b"/>
          <w:rFonts w:ascii="Univers" w:hAnsi="Univers"/>
          <w:sz w:val="24"/>
          <w:szCs w:val="24"/>
          <w:lang w:val="fr-FR"/>
        </w:rPr>
        <w:t>Cette position soutient qu'il existe de solides arguments socio-économiques pour permettre le prêt numérique contrôlé dans les bibliothèques du monde entier, et que là où un certain nombre de principes souhaitables et largement reconnus sont respectés (capacité des bibliothèques à acquérir et à prêter librement, la neutralité technologique</w:t>
      </w:r>
      <w:r w:rsidRPr="00BA3EC9">
        <w:rPr>
          <w:rStyle w:val="viiyi"/>
          <w:rFonts w:ascii="Univers" w:hAnsi="Univers"/>
          <w:sz w:val="24"/>
          <w:szCs w:val="24"/>
          <w:lang w:val="fr-FR"/>
        </w:rPr>
        <w:t xml:space="preserve"> </w:t>
      </w:r>
      <w:r w:rsidRPr="00BA3EC9">
        <w:rPr>
          <w:rStyle w:val="jlqj4b"/>
          <w:rFonts w:ascii="Univers" w:hAnsi="Univers"/>
          <w:sz w:val="24"/>
          <w:szCs w:val="24"/>
          <w:lang w:val="fr-FR"/>
        </w:rPr>
        <w:t xml:space="preserve">du droit, la possibilité de combiner des exceptions), sa base juridique soutiendra à son tour l'intérêt public au sens large. </w:t>
      </w:r>
    </w:p>
    <w:p w14:paraId="67EF5538" w14:textId="2D135C5D" w:rsidR="00494BE9" w:rsidRPr="00BA3EC9" w:rsidRDefault="00494BE9" w:rsidP="00BA3EC9">
      <w:pPr>
        <w:spacing w:before="240" w:after="240"/>
        <w:jc w:val="both"/>
        <w:rPr>
          <w:rFonts w:ascii="Univers" w:hAnsi="Univers" w:cs="Times New Roman"/>
          <w:sz w:val="24"/>
          <w:szCs w:val="24"/>
          <w:lang w:val="fr-FR"/>
        </w:rPr>
      </w:pPr>
      <w:r w:rsidRPr="00BA3EC9">
        <w:rPr>
          <w:rStyle w:val="jlqj4b"/>
          <w:rFonts w:ascii="Univers" w:hAnsi="Univers"/>
          <w:sz w:val="24"/>
          <w:szCs w:val="24"/>
          <w:lang w:val="fr-FR"/>
        </w:rPr>
        <w:t>Dans certains pays de l'Union européenne, les bases du</w:t>
      </w:r>
      <w:r w:rsidR="00BA3EC9">
        <w:rPr>
          <w:rStyle w:val="jlqj4b"/>
          <w:rFonts w:ascii="Univers" w:hAnsi="Univers"/>
          <w:sz w:val="24"/>
          <w:szCs w:val="24"/>
          <w:lang w:val="fr-FR"/>
        </w:rPr>
        <w:t xml:space="preserve"> PNC</w:t>
      </w:r>
      <w:r w:rsidRPr="00BA3EC9">
        <w:rPr>
          <w:rStyle w:val="jlqj4b"/>
          <w:rFonts w:ascii="Univers" w:hAnsi="Univers"/>
          <w:sz w:val="24"/>
          <w:szCs w:val="24"/>
          <w:lang w:val="fr-FR"/>
        </w:rPr>
        <w:t xml:space="preserve"> sont probablement déjà en place, et il suffira donc aux bibliothèques d'établir l'applicabilité de l'arrêt VOB contre </w:t>
      </w:r>
      <w:proofErr w:type="spellStart"/>
      <w:r w:rsidRPr="00BA3EC9">
        <w:rPr>
          <w:rStyle w:val="jlqj4b"/>
          <w:rFonts w:ascii="Univers" w:hAnsi="Univers"/>
          <w:sz w:val="24"/>
          <w:szCs w:val="24"/>
          <w:lang w:val="fr-FR"/>
        </w:rPr>
        <w:t>Stichting</w:t>
      </w:r>
      <w:proofErr w:type="spellEnd"/>
      <w:r w:rsidRPr="00BA3EC9">
        <w:rPr>
          <w:rStyle w:val="jlqj4b"/>
          <w:rFonts w:ascii="Univers" w:hAnsi="Univers"/>
          <w:sz w:val="24"/>
          <w:szCs w:val="24"/>
          <w:lang w:val="fr-FR"/>
        </w:rPr>
        <w:t xml:space="preserve"> </w:t>
      </w:r>
      <w:proofErr w:type="spellStart"/>
      <w:r w:rsidRPr="00BA3EC9">
        <w:rPr>
          <w:rStyle w:val="jlqj4b"/>
          <w:rFonts w:ascii="Univers" w:hAnsi="Univers"/>
          <w:sz w:val="24"/>
          <w:szCs w:val="24"/>
          <w:lang w:val="fr-FR"/>
        </w:rPr>
        <w:t>Leenrecht</w:t>
      </w:r>
      <w:proofErr w:type="spellEnd"/>
      <w:r w:rsidRPr="00BA3EC9">
        <w:rPr>
          <w:rStyle w:val="jlqj4b"/>
          <w:rFonts w:ascii="Univers" w:hAnsi="Univers"/>
          <w:sz w:val="24"/>
          <w:szCs w:val="24"/>
          <w:lang w:val="fr-FR"/>
        </w:rPr>
        <w:t xml:space="preserve"> à leur situation nationale.</w:t>
      </w:r>
      <w:r w:rsidRPr="00BA3EC9">
        <w:rPr>
          <w:rStyle w:val="viiyi"/>
          <w:rFonts w:ascii="Univers" w:hAnsi="Univers"/>
          <w:sz w:val="24"/>
          <w:szCs w:val="24"/>
          <w:lang w:val="fr-FR"/>
        </w:rPr>
        <w:t xml:space="preserve"> </w:t>
      </w:r>
      <w:r w:rsidRPr="00BA3EC9">
        <w:rPr>
          <w:rStyle w:val="jlqj4b"/>
          <w:rFonts w:ascii="Univers" w:hAnsi="Univers"/>
          <w:sz w:val="24"/>
          <w:szCs w:val="24"/>
          <w:lang w:val="fr-FR"/>
        </w:rPr>
        <w:t>Là où les conditions juridiques dans les pays du monde ne sont pas en place, l'IFLA exhorte à prendre des mesures pour corriger cela, permettant ainsi aux bibliothèques de numériser et de prêter des livres électroniques sur un ratio propriété/prêt, et ainsi de réaliser davantage leur potentiel pour soutenir l'apprentissage, la recherche et l'accès à</w:t>
      </w:r>
      <w:r w:rsidRPr="00BA3EC9">
        <w:rPr>
          <w:rStyle w:val="viiyi"/>
          <w:rFonts w:ascii="Univers" w:hAnsi="Univers"/>
          <w:sz w:val="24"/>
          <w:szCs w:val="24"/>
          <w:lang w:val="fr-FR"/>
        </w:rPr>
        <w:t xml:space="preserve"> </w:t>
      </w:r>
      <w:r w:rsidRPr="00BA3EC9">
        <w:rPr>
          <w:rStyle w:val="jlqj4b"/>
          <w:rFonts w:ascii="Univers" w:hAnsi="Univers"/>
          <w:sz w:val="24"/>
          <w:szCs w:val="24"/>
          <w:lang w:val="fr-FR"/>
        </w:rPr>
        <w:t>culture à l'ère du numérique.</w:t>
      </w:r>
      <w:r w:rsidR="00BF6214">
        <w:rPr>
          <w:rStyle w:val="jlqj4b"/>
          <w:rFonts w:ascii="Univers" w:hAnsi="Univers"/>
          <w:sz w:val="24"/>
          <w:szCs w:val="24"/>
          <w:lang w:val="fr-FR"/>
        </w:rPr>
        <w:t xml:space="preserve"> </w:t>
      </w:r>
    </w:p>
    <w:p w14:paraId="6502511A" w14:textId="77777777" w:rsidR="00494BE9" w:rsidRPr="00BA3EC9" w:rsidRDefault="00494BE9" w:rsidP="00494BE9">
      <w:pPr>
        <w:jc w:val="both"/>
        <w:rPr>
          <w:rFonts w:ascii="Univers" w:hAnsi="Univers"/>
          <w:sz w:val="24"/>
          <w:szCs w:val="24"/>
          <w:lang w:val="fr-FR"/>
        </w:rPr>
      </w:pPr>
    </w:p>
    <w:sectPr w:rsidR="00494BE9" w:rsidRPr="00BA3EC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506D" w14:textId="77777777" w:rsidR="00A4163E" w:rsidRDefault="00A4163E" w:rsidP="00494BE9">
      <w:pPr>
        <w:spacing w:after="0" w:line="240" w:lineRule="auto"/>
      </w:pPr>
      <w:r>
        <w:separator/>
      </w:r>
    </w:p>
  </w:endnote>
  <w:endnote w:type="continuationSeparator" w:id="0">
    <w:p w14:paraId="0E8586DD" w14:textId="77777777" w:rsidR="00A4163E" w:rsidRDefault="00A4163E" w:rsidP="0049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834156"/>
      <w:docPartObj>
        <w:docPartGallery w:val="Page Numbers (Bottom of Page)"/>
        <w:docPartUnique/>
      </w:docPartObj>
    </w:sdtPr>
    <w:sdtEndPr>
      <w:rPr>
        <w:noProof/>
      </w:rPr>
    </w:sdtEndPr>
    <w:sdtContent>
      <w:p w14:paraId="7403EF92" w14:textId="74F371C8" w:rsidR="00AB1E9E" w:rsidRDefault="00AB1E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4A30B2" w14:textId="77777777" w:rsidR="00AB1E9E" w:rsidRDefault="00AB1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1EF5" w14:textId="77777777" w:rsidR="00A4163E" w:rsidRDefault="00A4163E" w:rsidP="00494BE9">
      <w:pPr>
        <w:spacing w:after="0" w:line="240" w:lineRule="auto"/>
      </w:pPr>
      <w:r>
        <w:separator/>
      </w:r>
    </w:p>
  </w:footnote>
  <w:footnote w:type="continuationSeparator" w:id="0">
    <w:p w14:paraId="38F14123" w14:textId="77777777" w:rsidR="00A4163E" w:rsidRDefault="00A4163E" w:rsidP="00494BE9">
      <w:pPr>
        <w:spacing w:after="0" w:line="240" w:lineRule="auto"/>
      </w:pPr>
      <w:r>
        <w:continuationSeparator/>
      </w:r>
    </w:p>
  </w:footnote>
  <w:footnote w:id="1">
    <w:p w14:paraId="71635784" w14:textId="3DC8ACC8" w:rsidR="00315444" w:rsidRPr="003F186A" w:rsidRDefault="00315444" w:rsidP="003F186A">
      <w:pPr>
        <w:pStyle w:val="FootnoteText"/>
        <w:jc w:val="both"/>
        <w:rPr>
          <w:rFonts w:ascii="Univers" w:hAnsi="Univers" w:cs="Times New Roman"/>
          <w:i/>
          <w:lang w:val="en-GB"/>
        </w:rPr>
      </w:pPr>
      <w:r w:rsidRPr="003F186A">
        <w:rPr>
          <w:rStyle w:val="FootnoteReference"/>
          <w:rFonts w:ascii="Univers" w:hAnsi="Univers"/>
        </w:rPr>
        <w:footnoteRef/>
      </w:r>
      <w:r w:rsidRPr="003F186A">
        <w:rPr>
          <w:rFonts w:ascii="Univers" w:hAnsi="Univers"/>
        </w:rPr>
        <w:t xml:space="preserve"> </w:t>
      </w:r>
      <w:r w:rsidRPr="003F186A">
        <w:rPr>
          <w:rFonts w:ascii="Univers" w:hAnsi="Univers" w:cs="Times New Roman"/>
          <w:lang w:val="en-GB"/>
        </w:rPr>
        <w:t xml:space="preserve">Hansen, David and Courtney, Kyle (2018), </w:t>
      </w:r>
      <w:r w:rsidRPr="003F186A">
        <w:rPr>
          <w:rFonts w:ascii="Univers" w:hAnsi="Univers" w:cs="Times New Roman"/>
          <w:i/>
          <w:lang w:val="en-GB"/>
        </w:rPr>
        <w:t xml:space="preserve">A White Paper on Controlled Digital Lending of Library Books. Available at </w:t>
      </w:r>
      <w:hyperlink r:id="rId1" w:history="1">
        <w:r w:rsidRPr="003F186A">
          <w:rPr>
            <w:rStyle w:val="Hyperlink"/>
            <w:rFonts w:ascii="Univers" w:hAnsi="Univers" w:cs="Times New Roman"/>
            <w:i/>
            <w:lang w:val="en-GB"/>
          </w:rPr>
          <w:t>https://controlleddigitallending.org/whitepaper</w:t>
        </w:r>
      </w:hyperlink>
    </w:p>
    <w:p w14:paraId="2A2F09B7" w14:textId="77777777" w:rsidR="00315444" w:rsidRPr="003F186A" w:rsidRDefault="00315444" w:rsidP="003F186A">
      <w:pPr>
        <w:pStyle w:val="FootnoteText"/>
        <w:jc w:val="both"/>
        <w:rPr>
          <w:rFonts w:ascii="Univers" w:hAnsi="Univers"/>
          <w:lang w:val="en-US"/>
        </w:rPr>
      </w:pPr>
    </w:p>
  </w:footnote>
  <w:footnote w:id="2">
    <w:p w14:paraId="3EF9583F" w14:textId="7C163CA6" w:rsidR="00315444" w:rsidRPr="003F186A" w:rsidRDefault="00315444" w:rsidP="003F186A">
      <w:pPr>
        <w:pStyle w:val="FootnoteText"/>
        <w:jc w:val="both"/>
        <w:rPr>
          <w:rStyle w:val="jlqj4b"/>
          <w:rFonts w:ascii="Univers" w:hAnsi="Univers"/>
          <w:lang w:val="fr-FR"/>
        </w:rPr>
      </w:pPr>
      <w:r w:rsidRPr="003F186A">
        <w:rPr>
          <w:rStyle w:val="FootnoteReference"/>
          <w:rFonts w:ascii="Univers" w:hAnsi="Univers"/>
        </w:rPr>
        <w:footnoteRef/>
      </w:r>
      <w:r w:rsidRPr="003F186A">
        <w:rPr>
          <w:rFonts w:ascii="Univers" w:hAnsi="Univers"/>
        </w:rPr>
        <w:t xml:space="preserve"> </w:t>
      </w:r>
      <w:r w:rsidRPr="003F186A">
        <w:rPr>
          <w:rStyle w:val="jlqj4b"/>
          <w:rFonts w:ascii="Univers" w:hAnsi="Univers"/>
          <w:lang w:val="fr-FR"/>
        </w:rPr>
        <w:t>Par exemple, si une bibliothèque possède une copie du livre sous forme papier, elle peut la numériser, mettre la copie papier hors d'accès public et ne prêter le livre électronique qu'à un seul utilisateur à la fois.</w:t>
      </w:r>
      <w:r w:rsidRPr="003F186A">
        <w:rPr>
          <w:rStyle w:val="viiyi"/>
          <w:rFonts w:ascii="Univers" w:hAnsi="Univers"/>
          <w:lang w:val="fr-FR"/>
        </w:rPr>
        <w:t xml:space="preserve"> </w:t>
      </w:r>
      <w:r w:rsidRPr="003F186A">
        <w:rPr>
          <w:rStyle w:val="jlqj4b"/>
          <w:rFonts w:ascii="Univers" w:hAnsi="Univers"/>
          <w:lang w:val="fr-FR"/>
        </w:rPr>
        <w:t>Si la bibliothèque dispose de deux exemplaires papier, le même principe devrait s'appliquer selon lequel pas plus de deux exemplaires (quel que soit le format) devraient être mis à la disposition du public à tout moment.</w:t>
      </w:r>
    </w:p>
    <w:p w14:paraId="7C21A263" w14:textId="77777777" w:rsidR="00315444" w:rsidRPr="00315444" w:rsidRDefault="00315444">
      <w:pPr>
        <w:pStyle w:val="FootnoteText"/>
        <w:rPr>
          <w:lang w:val="fr-FR"/>
        </w:rPr>
      </w:pPr>
    </w:p>
  </w:footnote>
  <w:footnote w:id="3">
    <w:p w14:paraId="17DF6A5E" w14:textId="6DB9233A" w:rsidR="00315444" w:rsidRPr="00315444" w:rsidRDefault="00315444">
      <w:pPr>
        <w:pStyle w:val="FootnoteText"/>
        <w:rPr>
          <w:lang w:val="en-US"/>
        </w:rPr>
      </w:pPr>
      <w:r>
        <w:rPr>
          <w:rStyle w:val="FootnoteReference"/>
        </w:rPr>
        <w:footnoteRef/>
      </w:r>
      <w:r>
        <w:t xml:space="preserve"> </w:t>
      </w:r>
      <w:r w:rsidRPr="006938B5">
        <w:rPr>
          <w:rFonts w:ascii="Univers" w:hAnsi="Univers" w:cs="Times New Roman"/>
          <w:lang w:val="en-GB"/>
        </w:rPr>
        <w:t>Hansen and Courtney, ibid</w:t>
      </w:r>
      <w:r>
        <w:rPr>
          <w:rFonts w:ascii="Univers" w:hAnsi="Univers" w:cs="Times New Roman"/>
          <w:lang w:val="en-GB"/>
        </w:rPr>
        <w:t>.</w:t>
      </w:r>
    </w:p>
  </w:footnote>
  <w:footnote w:id="4">
    <w:p w14:paraId="13BA001C" w14:textId="52BA519A" w:rsidR="003F186A" w:rsidRPr="003F186A" w:rsidRDefault="003F186A" w:rsidP="003F186A">
      <w:pPr>
        <w:rPr>
          <w:rFonts w:ascii="Univers" w:hAnsi="Univers" w:cs="Times New Roman"/>
          <w:sz w:val="20"/>
          <w:szCs w:val="20"/>
          <w:lang w:val="en-GB"/>
        </w:rPr>
      </w:pPr>
      <w:r w:rsidRPr="003F186A">
        <w:rPr>
          <w:rStyle w:val="FootnoteReference"/>
          <w:rFonts w:ascii="Univers" w:hAnsi="Univers"/>
        </w:rPr>
        <w:footnoteRef/>
      </w:r>
      <w:r w:rsidRPr="003F186A">
        <w:rPr>
          <w:rFonts w:ascii="Univers" w:hAnsi="Univers"/>
        </w:rPr>
        <w:t xml:space="preserve"> </w:t>
      </w:r>
      <w:r w:rsidRPr="003F186A">
        <w:rPr>
          <w:rFonts w:ascii="Univers" w:hAnsi="Univers" w:cs="Times New Roman"/>
          <w:sz w:val="20"/>
          <w:szCs w:val="20"/>
          <w:lang w:val="en-GB"/>
        </w:rPr>
        <w:t xml:space="preserve">C174/15 </w:t>
      </w:r>
      <w:proofErr w:type="spellStart"/>
      <w:r w:rsidRPr="003F186A">
        <w:rPr>
          <w:rFonts w:ascii="Univers" w:hAnsi="Univers" w:cs="Times New Roman"/>
          <w:sz w:val="20"/>
          <w:szCs w:val="20"/>
          <w:lang w:val="en-GB"/>
        </w:rPr>
        <w:t>Vereniging</w:t>
      </w:r>
      <w:proofErr w:type="spellEnd"/>
      <w:r w:rsidRPr="003F186A">
        <w:rPr>
          <w:rFonts w:ascii="Univers" w:hAnsi="Univers" w:cs="Times New Roman"/>
          <w:sz w:val="20"/>
          <w:szCs w:val="20"/>
          <w:lang w:val="en-GB"/>
        </w:rPr>
        <w:t xml:space="preserve"> </w:t>
      </w:r>
      <w:proofErr w:type="spellStart"/>
      <w:r w:rsidRPr="003F186A">
        <w:rPr>
          <w:rFonts w:ascii="Univers" w:hAnsi="Univers" w:cs="Times New Roman"/>
          <w:sz w:val="20"/>
          <w:szCs w:val="20"/>
          <w:lang w:val="en-GB"/>
        </w:rPr>
        <w:t>Opebare</w:t>
      </w:r>
      <w:proofErr w:type="spellEnd"/>
      <w:r w:rsidRPr="003F186A">
        <w:rPr>
          <w:rFonts w:ascii="Univers" w:hAnsi="Univers" w:cs="Times New Roman"/>
          <w:sz w:val="20"/>
          <w:szCs w:val="20"/>
          <w:lang w:val="en-GB"/>
        </w:rPr>
        <w:t xml:space="preserve"> </w:t>
      </w:r>
      <w:proofErr w:type="spellStart"/>
      <w:r w:rsidRPr="003F186A">
        <w:rPr>
          <w:rFonts w:ascii="Univers" w:hAnsi="Univers" w:cs="Times New Roman"/>
          <w:sz w:val="20"/>
          <w:szCs w:val="20"/>
          <w:lang w:val="en-GB"/>
        </w:rPr>
        <w:t>Bibliotheken</w:t>
      </w:r>
      <w:proofErr w:type="spellEnd"/>
      <w:r w:rsidRPr="003F186A">
        <w:rPr>
          <w:rFonts w:ascii="Univers" w:hAnsi="Univers" w:cs="Times New Roman"/>
          <w:sz w:val="20"/>
          <w:szCs w:val="20"/>
          <w:lang w:val="en-GB"/>
        </w:rPr>
        <w:t xml:space="preserve"> vs </w:t>
      </w:r>
      <w:proofErr w:type="spellStart"/>
      <w:r w:rsidRPr="003F186A">
        <w:rPr>
          <w:rFonts w:ascii="Univers" w:hAnsi="Univers" w:cs="Times New Roman"/>
          <w:sz w:val="20"/>
          <w:szCs w:val="20"/>
          <w:lang w:val="en-GB"/>
        </w:rPr>
        <w:t>Stichting</w:t>
      </w:r>
      <w:proofErr w:type="spellEnd"/>
      <w:r w:rsidRPr="003F186A">
        <w:rPr>
          <w:rFonts w:ascii="Univers" w:hAnsi="Univers" w:cs="Times New Roman"/>
          <w:sz w:val="20"/>
          <w:szCs w:val="20"/>
          <w:lang w:val="en-GB"/>
        </w:rPr>
        <w:t xml:space="preserve"> </w:t>
      </w:r>
      <w:proofErr w:type="spellStart"/>
      <w:r w:rsidRPr="003F186A">
        <w:rPr>
          <w:rFonts w:ascii="Univers" w:hAnsi="Univers" w:cs="Times New Roman"/>
          <w:sz w:val="20"/>
          <w:szCs w:val="20"/>
          <w:lang w:val="en-GB"/>
        </w:rPr>
        <w:t>Leenrecht</w:t>
      </w:r>
      <w:proofErr w:type="spellEnd"/>
      <w:r w:rsidRPr="003F186A">
        <w:rPr>
          <w:rFonts w:ascii="Univers" w:hAnsi="Univers" w:cs="Times New Roman"/>
          <w:sz w:val="20"/>
          <w:szCs w:val="20"/>
          <w:lang w:val="en-GB"/>
        </w:rPr>
        <w:t xml:space="preserve"> </w:t>
      </w:r>
      <w:hyperlink r:id="rId2">
        <w:r w:rsidRPr="003F186A">
          <w:rPr>
            <w:rFonts w:ascii="Univers" w:hAnsi="Univers" w:cs="Times New Roman"/>
            <w:color w:val="1155CC"/>
            <w:sz w:val="20"/>
            <w:szCs w:val="20"/>
            <w:u w:val="single"/>
            <w:lang w:val="en-GB"/>
          </w:rPr>
          <w:t>http://curia.europa.eu/juris/liste.jsf?num=C-174/15</w:t>
        </w:r>
      </w:hyperlink>
      <w:r w:rsidRPr="003F186A">
        <w:rPr>
          <w:rFonts w:ascii="Univers" w:hAnsi="Univers" w:cs="Times New Roman"/>
          <w:sz w:val="20"/>
          <w:szCs w:val="20"/>
          <w:lang w:val="en-GB"/>
        </w:rPr>
        <w:t xml:space="preserve"> </w:t>
      </w:r>
    </w:p>
  </w:footnote>
  <w:footnote w:id="5">
    <w:p w14:paraId="76213301" w14:textId="05BC5443" w:rsidR="003F186A" w:rsidRPr="003F186A" w:rsidRDefault="003F186A" w:rsidP="003F186A">
      <w:pPr>
        <w:jc w:val="both"/>
        <w:rPr>
          <w:rFonts w:ascii="Univers" w:hAnsi="Univers" w:cs="Times New Roman"/>
          <w:sz w:val="20"/>
          <w:szCs w:val="20"/>
          <w:lang w:val="en-GB"/>
        </w:rPr>
      </w:pPr>
      <w:r>
        <w:rPr>
          <w:rStyle w:val="FootnoteReference"/>
        </w:rPr>
        <w:footnoteRef/>
      </w:r>
      <w:r>
        <w:t xml:space="preserve"> </w:t>
      </w:r>
      <w:r w:rsidRPr="006938B5">
        <w:rPr>
          <w:rFonts w:ascii="Univers" w:hAnsi="Univers" w:cs="Times New Roman"/>
          <w:sz w:val="20"/>
          <w:szCs w:val="20"/>
          <w:lang w:val="en-GB"/>
        </w:rPr>
        <w:t xml:space="preserve">Hachette Book Group Inc v. Internet Archive 1:20-cv-04160, US District Court, S.D. New York. Available at </w:t>
      </w:r>
      <w:hyperlink r:id="rId3">
        <w:r w:rsidRPr="006938B5">
          <w:rPr>
            <w:rFonts w:ascii="Univers" w:hAnsi="Univers" w:cs="Times New Roman"/>
            <w:color w:val="1155CC"/>
            <w:sz w:val="20"/>
            <w:szCs w:val="20"/>
            <w:u w:val="single"/>
            <w:lang w:val="en-GB"/>
          </w:rPr>
          <w:t>https://www.courtlistener.com/docket/17211300/hachette-book-group-inc-v-internet-archive/</w:t>
        </w:r>
      </w:hyperlink>
    </w:p>
  </w:footnote>
  <w:footnote w:id="6">
    <w:p w14:paraId="169D30F1" w14:textId="77777777" w:rsidR="003F186A" w:rsidRPr="006938B5" w:rsidRDefault="003F186A" w:rsidP="003F186A">
      <w:pPr>
        <w:rPr>
          <w:rFonts w:ascii="Univers" w:hAnsi="Univers" w:cs="Times New Roman"/>
          <w:sz w:val="20"/>
          <w:szCs w:val="20"/>
          <w:lang w:val="en-GB"/>
        </w:rPr>
      </w:pPr>
      <w:r>
        <w:rPr>
          <w:rStyle w:val="FootnoteReference"/>
        </w:rPr>
        <w:footnoteRef/>
      </w:r>
      <w:r>
        <w:t xml:space="preserve"> </w:t>
      </w:r>
      <w:r w:rsidRPr="006938B5">
        <w:rPr>
          <w:rFonts w:ascii="Univers" w:hAnsi="Univers" w:cs="Times New Roman"/>
          <w:sz w:val="20"/>
          <w:szCs w:val="20"/>
          <w:lang w:val="en-GB"/>
        </w:rPr>
        <w:t xml:space="preserve">Canadian Libraries Internet Archive Canada at </w:t>
      </w:r>
      <w:hyperlink r:id="rId4">
        <w:r w:rsidRPr="006938B5">
          <w:rPr>
            <w:rFonts w:ascii="Univers" w:hAnsi="Univers" w:cs="Times New Roman"/>
            <w:color w:val="1155CC"/>
            <w:sz w:val="20"/>
            <w:szCs w:val="20"/>
            <w:u w:val="single"/>
            <w:lang w:val="en-GB"/>
          </w:rPr>
          <w:t>https://archive.org/details/toronto</w:t>
        </w:r>
      </w:hyperlink>
    </w:p>
    <w:p w14:paraId="50407ACE" w14:textId="276B3976" w:rsidR="003F186A" w:rsidRPr="003F186A" w:rsidRDefault="003F186A">
      <w:pPr>
        <w:pStyle w:val="FootnoteText"/>
        <w:rPr>
          <w:lang w:val="en-US"/>
        </w:rPr>
      </w:pPr>
    </w:p>
  </w:footnote>
  <w:footnote w:id="7">
    <w:p w14:paraId="6A86E7FA" w14:textId="5FF6AF56" w:rsidR="003F186A" w:rsidRPr="003F186A" w:rsidRDefault="003F186A">
      <w:pPr>
        <w:pStyle w:val="FootnoteText"/>
        <w:rPr>
          <w:rFonts w:ascii="Univers" w:hAnsi="Univers"/>
          <w:lang w:val="en-US"/>
        </w:rPr>
      </w:pPr>
      <w:r w:rsidRPr="003F186A">
        <w:rPr>
          <w:rStyle w:val="FootnoteReference"/>
          <w:rFonts w:ascii="Univers" w:hAnsi="Univers"/>
        </w:rPr>
        <w:footnoteRef/>
      </w:r>
      <w:r w:rsidRPr="003F186A">
        <w:rPr>
          <w:rFonts w:ascii="Univers" w:hAnsi="Univers"/>
        </w:rPr>
        <w:t xml:space="preserve"> </w:t>
      </w:r>
      <w:r w:rsidRPr="003F186A">
        <w:rPr>
          <w:rFonts w:ascii="Univers" w:hAnsi="Univers" w:cs="Times New Roman"/>
          <w:lang w:val="en-GB"/>
        </w:rPr>
        <w:t xml:space="preserve">SCONUL (2018) </w:t>
      </w:r>
      <w:r w:rsidRPr="003F186A">
        <w:rPr>
          <w:rFonts w:ascii="Univers" w:hAnsi="Univers" w:cs="Times New Roman"/>
          <w:i/>
          <w:lang w:val="en-GB"/>
        </w:rPr>
        <w:t xml:space="preserve">Understanding the value of the CLA licence to UK higher education, </w:t>
      </w:r>
      <w:hyperlink r:id="rId5">
        <w:r w:rsidRPr="003F186A">
          <w:rPr>
            <w:rFonts w:ascii="Univers" w:hAnsi="Univers" w:cs="Times New Roman"/>
            <w:color w:val="1155CC"/>
            <w:u w:val="single"/>
            <w:lang w:val="en-GB"/>
          </w:rPr>
          <w:t>https://www.sconul.ac.uk/sites/default/files/documents/CNAC%20Research%20Project%20Report%20FINAL%20with%20logos.pdf</w:t>
        </w:r>
      </w:hyperlink>
    </w:p>
  </w:footnote>
  <w:footnote w:id="8">
    <w:p w14:paraId="667E804A" w14:textId="043D3BDC" w:rsidR="003F186A" w:rsidRPr="003F186A" w:rsidRDefault="003F186A">
      <w:pPr>
        <w:pStyle w:val="FootnoteText"/>
        <w:rPr>
          <w:rFonts w:ascii="Univers" w:hAnsi="Univers"/>
          <w:lang w:val="fr-FR"/>
        </w:rPr>
      </w:pPr>
      <w:r w:rsidRPr="003F186A">
        <w:rPr>
          <w:rStyle w:val="FootnoteReference"/>
          <w:rFonts w:ascii="Univers" w:hAnsi="Univers"/>
        </w:rPr>
        <w:footnoteRef/>
      </w:r>
      <w:r w:rsidRPr="003F186A">
        <w:rPr>
          <w:rFonts w:ascii="Univers" w:hAnsi="Univers"/>
        </w:rPr>
        <w:t xml:space="preserve"> </w:t>
      </w:r>
      <w:r w:rsidRPr="003F186A">
        <w:rPr>
          <w:rStyle w:val="jlqj4b"/>
          <w:rFonts w:ascii="Univers" w:hAnsi="Univers"/>
          <w:lang w:val="fr-FR"/>
        </w:rPr>
        <w:t xml:space="preserve">Pour une licence utilisateur unique, un </w:t>
      </w:r>
      <w:proofErr w:type="spellStart"/>
      <w:r w:rsidRPr="003F186A">
        <w:rPr>
          <w:rStyle w:val="jlqj4b"/>
          <w:rFonts w:ascii="Univers" w:hAnsi="Univers"/>
          <w:lang w:val="fr-FR"/>
        </w:rPr>
        <w:t>eBook</w:t>
      </w:r>
      <w:proofErr w:type="spellEnd"/>
      <w:r w:rsidRPr="003F186A">
        <w:rPr>
          <w:rStyle w:val="jlqj4b"/>
          <w:rFonts w:ascii="Univers" w:hAnsi="Univers"/>
          <w:lang w:val="fr-FR"/>
        </w:rPr>
        <w:t xml:space="preserve"> peut coûter dix fois le prix de la version papier.</w:t>
      </w:r>
      <w:r w:rsidRPr="003F186A">
        <w:rPr>
          <w:rStyle w:val="viiyi"/>
          <w:rFonts w:ascii="Univers" w:hAnsi="Univers"/>
          <w:lang w:val="fr-FR"/>
        </w:rPr>
        <w:t xml:space="preserve"> </w:t>
      </w:r>
      <w:r w:rsidRPr="003F186A">
        <w:rPr>
          <w:rStyle w:val="jlqj4b"/>
          <w:rFonts w:ascii="Univers" w:hAnsi="Univers"/>
          <w:lang w:val="fr-FR"/>
        </w:rPr>
        <w:t>Voir la campagne de livres électroniques académiques :</w:t>
      </w:r>
      <w:r w:rsidRPr="003F186A">
        <w:rPr>
          <w:rFonts w:ascii="Univers" w:hAnsi="Univers"/>
          <w:lang w:val="fr-FR"/>
        </w:rPr>
        <w:t xml:space="preserve"> </w:t>
      </w:r>
      <w:hyperlink r:id="rId6" w:history="1">
        <w:r w:rsidRPr="00937E44">
          <w:rPr>
            <w:rStyle w:val="Hyperlink"/>
            <w:rFonts w:ascii="Univers" w:hAnsi="Univers" w:cs="Times New Roman"/>
            <w:lang w:val="fr-FR"/>
          </w:rPr>
          <w:t>https://academicebookinvestigation.org/</w:t>
        </w:r>
      </w:hyperlink>
      <w:r w:rsidRPr="003F186A">
        <w:rPr>
          <w:rFonts w:ascii="Univers" w:hAnsi="Univers" w:cs="Times New Roman"/>
          <w:color w:val="1155CC"/>
          <w:u w:val="single"/>
          <w:lang w:val="fr-FR"/>
        </w:rPr>
        <w:t>.</w:t>
      </w:r>
    </w:p>
  </w:footnote>
  <w:footnote w:id="9">
    <w:p w14:paraId="2F442714" w14:textId="522FED00" w:rsidR="00A4655C" w:rsidRPr="00A4655C" w:rsidRDefault="00A4655C">
      <w:pPr>
        <w:pStyle w:val="FootnoteText"/>
      </w:pPr>
      <w:r>
        <w:rPr>
          <w:rStyle w:val="FootnoteReference"/>
        </w:rPr>
        <w:footnoteRef/>
      </w:r>
      <w:r>
        <w:t xml:space="preserve"> </w:t>
      </w:r>
      <w:r w:rsidRPr="006938B5">
        <w:rPr>
          <w:rFonts w:ascii="Univers" w:hAnsi="Univers" w:cs="Times New Roman"/>
          <w:lang w:val="en-GB"/>
        </w:rPr>
        <w:t xml:space="preserve">The Forever Decline: Academia’s Monograph Crisis: </w:t>
      </w:r>
      <w:hyperlink r:id="rId7">
        <w:r w:rsidRPr="006938B5">
          <w:rPr>
            <w:rFonts w:ascii="Univers" w:hAnsi="Univers" w:cs="Times New Roman"/>
            <w:color w:val="1155CC"/>
            <w:u w:val="single"/>
            <w:lang w:val="en-GB"/>
          </w:rPr>
          <w:t>https://openscience.com/the-forever-decline-academias-monograph-crisis/</w:t>
        </w:r>
      </w:hyperlink>
    </w:p>
  </w:footnote>
  <w:footnote w:id="10">
    <w:p w14:paraId="0C6C3E2F" w14:textId="15E9566E" w:rsidR="003F186A" w:rsidRPr="003F186A" w:rsidRDefault="003F186A" w:rsidP="003F186A">
      <w:pPr>
        <w:rPr>
          <w:rFonts w:ascii="Univers" w:hAnsi="Univers" w:cs="Times New Roman"/>
          <w:sz w:val="20"/>
          <w:szCs w:val="20"/>
          <w:lang w:val="en-GB"/>
        </w:rPr>
      </w:pPr>
      <w:r w:rsidRPr="003F186A">
        <w:rPr>
          <w:rStyle w:val="FootnoteReference"/>
          <w:rFonts w:ascii="Univers" w:hAnsi="Univers"/>
          <w:sz w:val="20"/>
          <w:szCs w:val="20"/>
        </w:rPr>
        <w:footnoteRef/>
      </w:r>
      <w:r w:rsidRPr="003F186A">
        <w:rPr>
          <w:rFonts w:ascii="Univers" w:hAnsi="Univers"/>
          <w:sz w:val="20"/>
          <w:szCs w:val="20"/>
        </w:rPr>
        <w:t xml:space="preserve"> </w:t>
      </w:r>
      <w:r w:rsidRPr="003F186A">
        <w:rPr>
          <w:rFonts w:ascii="Univers" w:hAnsi="Univers" w:cs="Times New Roman"/>
          <w:sz w:val="20"/>
          <w:szCs w:val="20"/>
          <w:lang w:val="en-GB"/>
        </w:rPr>
        <w:t>The Monograph Crisis: Open Access for Art and Design Scholarship</w:t>
      </w:r>
      <w:r w:rsidRPr="003F186A">
        <w:rPr>
          <w:rFonts w:ascii="Univers" w:hAnsi="Univers" w:cs="Times New Roman"/>
          <w:sz w:val="20"/>
          <w:szCs w:val="20"/>
          <w:lang w:val="en-GB"/>
        </w:rPr>
        <w:t xml:space="preserve">: </w:t>
      </w:r>
      <w:hyperlink r:id="rId8" w:history="1">
        <w:r w:rsidRPr="003F186A">
          <w:rPr>
            <w:rStyle w:val="Hyperlink"/>
            <w:rFonts w:ascii="Univers" w:hAnsi="Univers" w:cs="Times New Roman"/>
            <w:sz w:val="20"/>
            <w:szCs w:val="20"/>
            <w:lang w:val="en-GB"/>
          </w:rPr>
          <w:t>https://blogs.openbookpublishers.com/the-monograph-crisis-open-access-for-art-and-design-scholarship/</w:t>
        </w:r>
      </w:hyperlink>
    </w:p>
    <w:p w14:paraId="37683F44" w14:textId="2F9A5808" w:rsidR="003F186A" w:rsidRPr="003F186A" w:rsidRDefault="003F186A">
      <w:pPr>
        <w:pStyle w:val="FootnoteText"/>
        <w:rPr>
          <w:lang w:val="en-GB"/>
        </w:rPr>
      </w:pPr>
    </w:p>
  </w:footnote>
  <w:footnote w:id="11">
    <w:p w14:paraId="3C0CDD51" w14:textId="1DBC01BE" w:rsidR="00BF6214" w:rsidRPr="00BF6214" w:rsidRDefault="00BF6214" w:rsidP="00BF6214">
      <w:pPr>
        <w:jc w:val="both"/>
        <w:rPr>
          <w:rFonts w:ascii="Univers" w:hAnsi="Univers" w:cs="Times New Roman"/>
          <w:sz w:val="20"/>
          <w:szCs w:val="20"/>
          <w:lang w:val="en-GB"/>
        </w:rPr>
      </w:pPr>
      <w:r w:rsidRPr="00BF6214">
        <w:rPr>
          <w:rStyle w:val="FootnoteReference"/>
          <w:rFonts w:ascii="Univers" w:hAnsi="Univers"/>
        </w:rPr>
        <w:footnoteRef/>
      </w:r>
      <w:r w:rsidRPr="00BF6214">
        <w:rPr>
          <w:rFonts w:ascii="Univers" w:hAnsi="Univers"/>
        </w:rPr>
        <w:t xml:space="preserve"> </w:t>
      </w:r>
      <w:r w:rsidRPr="00BF6214">
        <w:rPr>
          <w:rFonts w:ascii="Univers" w:hAnsi="Univers" w:cs="Times New Roman"/>
          <w:sz w:val="20"/>
          <w:szCs w:val="20"/>
          <w:lang w:val="en-GB"/>
        </w:rPr>
        <w:t xml:space="preserve">How Libraries Help Authors Boost Book Sales, Rachel Kramer </w:t>
      </w:r>
      <w:proofErr w:type="spellStart"/>
      <w:r w:rsidRPr="00BF6214">
        <w:rPr>
          <w:rFonts w:ascii="Univers" w:hAnsi="Univers" w:cs="Times New Roman"/>
          <w:sz w:val="20"/>
          <w:szCs w:val="20"/>
          <w:lang w:val="en-GB"/>
        </w:rPr>
        <w:t>Bussel</w:t>
      </w:r>
      <w:proofErr w:type="spellEnd"/>
      <w:r w:rsidRPr="00BF6214">
        <w:rPr>
          <w:rFonts w:ascii="Univers" w:hAnsi="Univers" w:cs="Times New Roman"/>
          <w:sz w:val="20"/>
          <w:szCs w:val="20"/>
          <w:lang w:val="en-GB"/>
        </w:rPr>
        <w:t xml:space="preserve">, Forbes, April 12, 2019: accessed on the 15/01/2021: </w:t>
      </w:r>
      <w:hyperlink r:id="rId9">
        <w:r w:rsidRPr="00BF6214">
          <w:rPr>
            <w:rFonts w:ascii="Univers" w:hAnsi="Univers" w:cs="Times New Roman"/>
            <w:color w:val="1155CC"/>
            <w:sz w:val="20"/>
            <w:szCs w:val="20"/>
            <w:u w:val="single"/>
            <w:lang w:val="en-GB"/>
          </w:rPr>
          <w:t>https://www.forbes.com/sites/rachelkramerbussel/2019/04/12/how-libraries-boost-book-sales/</w:t>
        </w:r>
      </w:hyperlink>
    </w:p>
  </w:footnote>
  <w:footnote w:id="12">
    <w:p w14:paraId="5E02A92E" w14:textId="01A7963A" w:rsidR="00BF6214" w:rsidRPr="00BF6214" w:rsidRDefault="00BF6214" w:rsidP="00BF6214">
      <w:pPr>
        <w:pStyle w:val="FootnoteText"/>
        <w:jc w:val="both"/>
        <w:rPr>
          <w:rFonts w:ascii="Univers" w:hAnsi="Univers"/>
          <w:lang w:val="en-US"/>
        </w:rPr>
      </w:pPr>
      <w:r w:rsidRPr="00BF6214">
        <w:rPr>
          <w:rStyle w:val="FootnoteReference"/>
          <w:rFonts w:ascii="Univers" w:hAnsi="Univers"/>
        </w:rPr>
        <w:footnoteRef/>
      </w:r>
      <w:r w:rsidRPr="00BF6214">
        <w:rPr>
          <w:rFonts w:ascii="Univers" w:hAnsi="Univers"/>
        </w:rPr>
        <w:t xml:space="preserve"> </w:t>
      </w:r>
      <w:r w:rsidRPr="00BF6214">
        <w:rPr>
          <w:rFonts w:ascii="Univers" w:hAnsi="Univers" w:cs="Times New Roman"/>
          <w:lang w:val="en-GB"/>
        </w:rPr>
        <w:t xml:space="preserve">Berne Convention, WIPO website, accessed on the 15/01/2021: </w:t>
      </w:r>
      <w:hyperlink r:id="rId10">
        <w:r w:rsidRPr="00BF6214">
          <w:rPr>
            <w:rFonts w:ascii="Univers" w:hAnsi="Univers" w:cs="Times New Roman"/>
            <w:color w:val="1155CC"/>
            <w:u w:val="single"/>
            <w:lang w:val="en-GB"/>
          </w:rPr>
          <w:t>https://wipolex.wipo.int/en/treaties/textdetails/12214</w:t>
        </w:r>
      </w:hyperlink>
    </w:p>
  </w:footnote>
  <w:footnote w:id="13">
    <w:p w14:paraId="25783482" w14:textId="59E2C91C" w:rsidR="00BF6214" w:rsidRPr="00752484" w:rsidRDefault="00BF6214" w:rsidP="00BF6214">
      <w:pPr>
        <w:pStyle w:val="FootnoteText"/>
        <w:jc w:val="both"/>
        <w:rPr>
          <w:rFonts w:ascii="Univers" w:hAnsi="Univers"/>
          <w:lang w:val="fr-FR"/>
        </w:rPr>
      </w:pPr>
      <w:r w:rsidRPr="00BF6214">
        <w:rPr>
          <w:rStyle w:val="FootnoteReference"/>
          <w:rFonts w:ascii="Univers" w:hAnsi="Univers"/>
        </w:rPr>
        <w:footnoteRef/>
      </w:r>
      <w:r w:rsidRPr="00BF6214">
        <w:rPr>
          <w:rFonts w:ascii="Univers" w:hAnsi="Univers"/>
        </w:rPr>
        <w:t xml:space="preserve"> </w:t>
      </w:r>
      <w:r w:rsidRPr="00BF6214">
        <w:rPr>
          <w:rStyle w:val="jlqj4b"/>
          <w:rFonts w:ascii="Univers" w:hAnsi="Univers"/>
          <w:lang w:val="fr-FR"/>
        </w:rPr>
        <w:t>A noter, et comme indiqué dans sa position sur le droit de prêt public (</w:t>
      </w:r>
      <w:hyperlink r:id="rId11" w:history="1">
        <w:r w:rsidRPr="00BF6214">
          <w:rPr>
            <w:rStyle w:val="Hyperlink"/>
            <w:rFonts w:ascii="Univers" w:hAnsi="Univers"/>
            <w:lang w:val="fr-FR"/>
          </w:rPr>
          <w:t>https://www.ifla.org/publications/the-ifla-position-on-public-lending-right--2016</w:t>
        </w:r>
      </w:hyperlink>
      <w:r w:rsidRPr="00BF6214">
        <w:rPr>
          <w:rStyle w:val="jlqj4b"/>
          <w:rFonts w:ascii="Univers" w:hAnsi="Univers"/>
          <w:lang w:val="fr-FR"/>
        </w:rPr>
        <w:t>), l'IFLA reconnaît l'importance de</w:t>
      </w:r>
      <w:r w:rsidRPr="00BF6214">
        <w:rPr>
          <w:rStyle w:val="viiyi"/>
          <w:rFonts w:ascii="Univers" w:hAnsi="Univers"/>
          <w:lang w:val="fr-FR"/>
        </w:rPr>
        <w:t xml:space="preserve"> </w:t>
      </w:r>
      <w:r w:rsidRPr="00BF6214">
        <w:rPr>
          <w:rStyle w:val="jlqj4b"/>
          <w:rFonts w:ascii="Univers" w:hAnsi="Univers"/>
          <w:lang w:val="fr-FR"/>
        </w:rPr>
        <w:t>soutenir les auteurs pour assurer la production continue de nouvelles œuvres.</w:t>
      </w:r>
      <w:r w:rsidRPr="00BF6214">
        <w:rPr>
          <w:rStyle w:val="viiyi"/>
          <w:rFonts w:ascii="Univers" w:hAnsi="Univers"/>
          <w:lang w:val="fr-FR"/>
        </w:rPr>
        <w:t xml:space="preserve"> </w:t>
      </w:r>
      <w:r w:rsidRPr="00BF6214">
        <w:rPr>
          <w:rStyle w:val="jlqj4b"/>
          <w:rFonts w:ascii="Univers" w:hAnsi="Univers"/>
          <w:lang w:val="fr-FR"/>
        </w:rPr>
        <w:t>En tant que tel, l'IFLA encourage les gouvernements à rechercher des approches plus efficientes et efficaces que le DPP, notamment des conditions contractuelles améliorées, des allégements fiscaux et des outils directs tels que les fonds culturels.</w:t>
      </w:r>
      <w:r w:rsidRPr="00BF6214">
        <w:rPr>
          <w:rStyle w:val="viiyi"/>
          <w:rFonts w:ascii="Univers" w:hAnsi="Univers"/>
          <w:lang w:val="fr-FR"/>
        </w:rPr>
        <w:t xml:space="preserve"> </w:t>
      </w:r>
      <w:r w:rsidRPr="00BF6214">
        <w:rPr>
          <w:rStyle w:val="jlqj4b"/>
          <w:rFonts w:ascii="Univers" w:hAnsi="Univers"/>
          <w:lang w:val="fr-FR"/>
        </w:rPr>
        <w:t>Lorsqu'une indemnisation au titre du DPP est requise, une réflexion sera nécessaire sur son application à la CDL.</w:t>
      </w:r>
      <w:r w:rsidRPr="00BF6214">
        <w:rPr>
          <w:rStyle w:val="viiyi"/>
          <w:rFonts w:ascii="Univers" w:hAnsi="Univers"/>
          <w:lang w:val="fr-FR"/>
        </w:rPr>
        <w:t xml:space="preserve"> </w:t>
      </w:r>
      <w:r w:rsidRPr="00BF6214">
        <w:rPr>
          <w:rStyle w:val="jlqj4b"/>
          <w:rFonts w:ascii="Univers" w:hAnsi="Univers"/>
          <w:lang w:val="fr-FR"/>
        </w:rPr>
        <w:t xml:space="preserve">L'IFLA est </w:t>
      </w:r>
      <w:r w:rsidRPr="00752484">
        <w:rPr>
          <w:rStyle w:val="jlqj4b"/>
          <w:rFonts w:ascii="Univers" w:hAnsi="Univers"/>
          <w:lang w:val="fr-FR"/>
        </w:rPr>
        <w:t>fortement opposée au DPP sur les livres électroniques qui ne sont disponibles que pour un nombre limité de prêts ou de temps.</w:t>
      </w:r>
    </w:p>
  </w:footnote>
  <w:footnote w:id="14">
    <w:p w14:paraId="2A9C8F31" w14:textId="246924F3" w:rsidR="00BF6214" w:rsidRPr="00752484" w:rsidRDefault="00BF6214" w:rsidP="00BF6214">
      <w:pPr>
        <w:rPr>
          <w:rFonts w:ascii="Univers" w:hAnsi="Univers" w:cs="Times New Roman"/>
          <w:sz w:val="20"/>
          <w:szCs w:val="20"/>
          <w:lang w:val="en-GB"/>
        </w:rPr>
      </w:pPr>
      <w:r w:rsidRPr="00752484">
        <w:rPr>
          <w:rStyle w:val="FootnoteReference"/>
          <w:rFonts w:ascii="Univers" w:hAnsi="Univers"/>
          <w:sz w:val="20"/>
          <w:szCs w:val="20"/>
        </w:rPr>
        <w:footnoteRef/>
      </w:r>
      <w:r w:rsidRPr="00752484">
        <w:rPr>
          <w:rFonts w:ascii="Univers" w:hAnsi="Univers"/>
          <w:sz w:val="20"/>
          <w:szCs w:val="20"/>
        </w:rPr>
        <w:t xml:space="preserve"> </w:t>
      </w:r>
      <w:r w:rsidRPr="00752484">
        <w:rPr>
          <w:rFonts w:ascii="Univers" w:hAnsi="Univers" w:cs="Times New Roman"/>
          <w:sz w:val="20"/>
          <w:szCs w:val="20"/>
          <w:lang w:val="en-GB"/>
        </w:rPr>
        <w:t>Ibid.</w:t>
      </w:r>
    </w:p>
  </w:footnote>
  <w:footnote w:id="15">
    <w:p w14:paraId="30C60FEA" w14:textId="70BB538B" w:rsidR="00BF6214" w:rsidRPr="00752484" w:rsidRDefault="00BF6214" w:rsidP="00BF6214">
      <w:pPr>
        <w:rPr>
          <w:rFonts w:ascii="Univers" w:hAnsi="Univers" w:cs="Times New Roman"/>
          <w:color w:val="1155CC"/>
          <w:sz w:val="20"/>
          <w:szCs w:val="20"/>
          <w:u w:val="single"/>
          <w:lang w:val="en-GB"/>
        </w:rPr>
      </w:pPr>
      <w:r w:rsidRPr="00752484">
        <w:rPr>
          <w:rStyle w:val="FootnoteReference"/>
          <w:rFonts w:ascii="Univers" w:hAnsi="Univers"/>
          <w:sz w:val="20"/>
          <w:szCs w:val="20"/>
        </w:rPr>
        <w:footnoteRef/>
      </w:r>
      <w:r w:rsidRPr="00752484">
        <w:rPr>
          <w:rFonts w:ascii="Univers" w:hAnsi="Univers"/>
          <w:sz w:val="20"/>
          <w:szCs w:val="20"/>
        </w:rPr>
        <w:t xml:space="preserve"> </w:t>
      </w:r>
      <w:r w:rsidRPr="00752484">
        <w:rPr>
          <w:rFonts w:ascii="Univers" w:hAnsi="Univers" w:cs="Times New Roman"/>
          <w:sz w:val="20"/>
          <w:szCs w:val="20"/>
          <w:lang w:val="en-GB"/>
        </w:rPr>
        <w:t xml:space="preserve">C117-13 </w:t>
      </w:r>
      <w:proofErr w:type="spellStart"/>
      <w:r w:rsidRPr="00752484">
        <w:rPr>
          <w:rFonts w:ascii="Univers" w:hAnsi="Univers" w:cs="Times New Roman"/>
          <w:sz w:val="20"/>
          <w:szCs w:val="20"/>
          <w:lang w:val="en-GB"/>
        </w:rPr>
        <w:t>Technische</w:t>
      </w:r>
      <w:proofErr w:type="spellEnd"/>
      <w:r w:rsidRPr="00752484">
        <w:rPr>
          <w:rFonts w:ascii="Univers" w:hAnsi="Univers" w:cs="Times New Roman"/>
          <w:sz w:val="20"/>
          <w:szCs w:val="20"/>
          <w:lang w:val="en-GB"/>
        </w:rPr>
        <w:t xml:space="preserve"> Universität Darmstadt vs Eugen Ulmer KG, </w:t>
      </w:r>
      <w:hyperlink r:id="rId12">
        <w:r w:rsidRPr="00752484">
          <w:rPr>
            <w:rFonts w:ascii="Univers" w:hAnsi="Univers" w:cs="Times New Roman"/>
            <w:color w:val="1155CC"/>
            <w:sz w:val="20"/>
            <w:szCs w:val="20"/>
            <w:u w:val="single"/>
            <w:lang w:val="en-GB"/>
          </w:rPr>
          <w:t>http://curia.europa.eu/juris/liste.jsf?num=C-117/13</w:t>
        </w:r>
      </w:hyperlink>
    </w:p>
    <w:p w14:paraId="5D80F075" w14:textId="77777777" w:rsidR="00BF6214" w:rsidRPr="006938B5" w:rsidRDefault="00BF6214" w:rsidP="00BF6214">
      <w:pPr>
        <w:rPr>
          <w:rFonts w:ascii="Univers" w:hAnsi="Univers" w:cs="Times New Roman"/>
          <w:sz w:val="20"/>
          <w:szCs w:val="20"/>
          <w:lang w:val="en-GB"/>
        </w:rPr>
      </w:pPr>
    </w:p>
    <w:p w14:paraId="08172055" w14:textId="395D5096" w:rsidR="00BF6214" w:rsidRPr="00BF6214" w:rsidRDefault="00BF6214">
      <w:pPr>
        <w:pStyle w:val="FootnoteText"/>
        <w:rPr>
          <w:lang w:val="en-US"/>
        </w:rPr>
      </w:pPr>
    </w:p>
  </w:footnote>
  <w:footnote w:id="16">
    <w:p w14:paraId="0F217488" w14:textId="77777777" w:rsidR="00752484" w:rsidRPr="006938B5" w:rsidRDefault="00752484" w:rsidP="00752484">
      <w:pPr>
        <w:rPr>
          <w:rFonts w:ascii="Univers" w:hAnsi="Univers" w:cs="Times New Roman"/>
          <w:sz w:val="20"/>
          <w:szCs w:val="20"/>
        </w:rPr>
      </w:pPr>
      <w:r>
        <w:rPr>
          <w:rStyle w:val="FootnoteReference"/>
        </w:rPr>
        <w:footnoteRef/>
      </w:r>
      <w:r>
        <w:t xml:space="preserve"> </w:t>
      </w:r>
      <w:r w:rsidRPr="00752484">
        <w:rPr>
          <w:rFonts w:ascii="Univers" w:hAnsi="Univers" w:cs="Times New Roman"/>
          <w:sz w:val="20"/>
          <w:szCs w:val="20"/>
        </w:rPr>
        <w:t xml:space="preserve">WIPO website, Berne’s Convention: </w:t>
      </w:r>
      <w:hyperlink r:id="rId13">
        <w:r w:rsidRPr="00752484">
          <w:rPr>
            <w:rFonts w:ascii="Univers" w:hAnsi="Univers" w:cs="Times New Roman"/>
            <w:color w:val="1155CC"/>
            <w:sz w:val="20"/>
            <w:szCs w:val="20"/>
            <w:u w:val="single"/>
          </w:rPr>
          <w:t>https://www.wipo.int/treaties/en/ip/berne/</w:t>
        </w:r>
      </w:hyperlink>
    </w:p>
    <w:p w14:paraId="1A59D62B" w14:textId="11802BFF" w:rsidR="00752484" w:rsidRPr="00752484" w:rsidRDefault="0075248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E4C4" w14:textId="396D1C7C" w:rsidR="00D968D4" w:rsidRPr="00D968D4" w:rsidRDefault="00D968D4">
    <w:pPr>
      <w:pStyle w:val="Header"/>
      <w:rPr>
        <w:sz w:val="20"/>
        <w:szCs w:val="20"/>
      </w:rPr>
    </w:pPr>
    <w:r w:rsidRPr="00D968D4">
      <w:rPr>
        <w:rFonts w:ascii="Univers Condensed" w:eastAsia="Times New Roman" w:hAnsi="Univers Condensed" w:cs="Times New Roman"/>
        <w:b/>
        <w:bCs/>
        <w:sz w:val="20"/>
        <w:szCs w:val="20"/>
        <w:lang w:val="fr-FR" w:eastAsia="en-NL"/>
      </w:rPr>
      <w:t xml:space="preserve">Déclaration d’IFLA sur le </w:t>
    </w:r>
    <w:r w:rsidRPr="00494BE9">
      <w:rPr>
        <w:rFonts w:ascii="Univers Condensed" w:eastAsia="Times New Roman" w:hAnsi="Univers Condensed" w:cs="Times New Roman"/>
        <w:b/>
        <w:bCs/>
        <w:sz w:val="20"/>
        <w:szCs w:val="20"/>
        <w:lang w:val="fr-FR" w:eastAsia="en-NL"/>
      </w:rPr>
      <w:t>Prêt Numérique Contrôlé</w:t>
    </w:r>
  </w:p>
  <w:p w14:paraId="56ABAFF3" w14:textId="273E168D" w:rsidR="00315444" w:rsidRPr="00315444" w:rsidRDefault="00D968D4">
    <w:pPr>
      <w:pStyle w:val="Header"/>
      <w:rPr>
        <w:lang w:val="fr-FR"/>
      </w:rPr>
    </w:pPr>
    <w:r>
      <w:rPr>
        <w:lang w:val="fr-FR"/>
      </w:rPr>
      <w:t>2 juin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10A95"/>
    <w:multiLevelType w:val="hybridMultilevel"/>
    <w:tmpl w:val="3F38BF9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D572656"/>
    <w:multiLevelType w:val="hybridMultilevel"/>
    <w:tmpl w:val="3D4285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2NDI1NTAxtDQxNjZT0lEKTi0uzszPAykwrAUAH7+FPywAAAA="/>
  </w:docVars>
  <w:rsids>
    <w:rsidRoot w:val="00AC31B3"/>
    <w:rsid w:val="000204CD"/>
    <w:rsid w:val="000317CB"/>
    <w:rsid w:val="002A1457"/>
    <w:rsid w:val="00315444"/>
    <w:rsid w:val="003F186A"/>
    <w:rsid w:val="00494BE9"/>
    <w:rsid w:val="004C5F34"/>
    <w:rsid w:val="006F51C3"/>
    <w:rsid w:val="00752484"/>
    <w:rsid w:val="00860323"/>
    <w:rsid w:val="00923A71"/>
    <w:rsid w:val="00A4163E"/>
    <w:rsid w:val="00A4655C"/>
    <w:rsid w:val="00A92151"/>
    <w:rsid w:val="00AB1E9E"/>
    <w:rsid w:val="00AC31B3"/>
    <w:rsid w:val="00B4290D"/>
    <w:rsid w:val="00BA3EC9"/>
    <w:rsid w:val="00BF6214"/>
    <w:rsid w:val="00C022DF"/>
    <w:rsid w:val="00C11752"/>
    <w:rsid w:val="00CD1C7B"/>
    <w:rsid w:val="00D968D4"/>
    <w:rsid w:val="00E8525B"/>
    <w:rsid w:val="00F813B7"/>
    <w:rsid w:val="00FE4E0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567D"/>
  <w15:chartTrackingRefBased/>
  <w15:docId w15:val="{68241A61-ABDF-42F0-9E32-E536B13D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4BE9"/>
    <w:pPr>
      <w:spacing w:before="100" w:beforeAutospacing="1" w:after="100" w:afterAutospacing="1" w:line="240" w:lineRule="auto"/>
      <w:outlineLvl w:val="1"/>
    </w:pPr>
    <w:rPr>
      <w:rFonts w:ascii="Times New Roman" w:eastAsia="Times New Roman" w:hAnsi="Times New Roman" w:cs="Times New Roman"/>
      <w:b/>
      <w:bCs/>
      <w:sz w:val="36"/>
      <w:szCs w:val="36"/>
      <w:lang w:val="en-NL"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BE9"/>
    <w:rPr>
      <w:rFonts w:ascii="Times New Roman" w:eastAsia="Times New Roman" w:hAnsi="Times New Roman" w:cs="Times New Roman"/>
      <w:b/>
      <w:bCs/>
      <w:sz w:val="36"/>
      <w:szCs w:val="36"/>
      <w:lang w:val="en-NL" w:eastAsia="en-NL"/>
    </w:rPr>
  </w:style>
  <w:style w:type="character" w:customStyle="1" w:styleId="jlqj4b">
    <w:name w:val="jlqj4b"/>
    <w:basedOn w:val="DefaultParagraphFont"/>
    <w:rsid w:val="00494BE9"/>
  </w:style>
  <w:style w:type="character" w:styleId="Hyperlink">
    <w:name w:val="Hyperlink"/>
    <w:basedOn w:val="DefaultParagraphFont"/>
    <w:uiPriority w:val="99"/>
    <w:unhideWhenUsed/>
    <w:rsid w:val="00494BE9"/>
    <w:rPr>
      <w:color w:val="0000FF"/>
      <w:u w:val="single"/>
    </w:rPr>
  </w:style>
  <w:style w:type="character" w:customStyle="1" w:styleId="viiyi">
    <w:name w:val="viiyi"/>
    <w:basedOn w:val="DefaultParagraphFont"/>
    <w:rsid w:val="00494BE9"/>
  </w:style>
  <w:style w:type="paragraph" w:styleId="FootnoteText">
    <w:name w:val="footnote text"/>
    <w:basedOn w:val="Normal"/>
    <w:link w:val="FootnoteTextChar"/>
    <w:uiPriority w:val="99"/>
    <w:semiHidden/>
    <w:unhideWhenUsed/>
    <w:rsid w:val="00031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7CB"/>
    <w:rPr>
      <w:sz w:val="20"/>
      <w:szCs w:val="20"/>
    </w:rPr>
  </w:style>
  <w:style w:type="character" w:styleId="FootnoteReference">
    <w:name w:val="footnote reference"/>
    <w:basedOn w:val="DefaultParagraphFont"/>
    <w:uiPriority w:val="99"/>
    <w:semiHidden/>
    <w:unhideWhenUsed/>
    <w:rsid w:val="000317CB"/>
    <w:rPr>
      <w:vertAlign w:val="superscript"/>
    </w:rPr>
  </w:style>
  <w:style w:type="paragraph" w:styleId="ListParagraph">
    <w:name w:val="List Paragraph"/>
    <w:basedOn w:val="Normal"/>
    <w:uiPriority w:val="34"/>
    <w:qFormat/>
    <w:rsid w:val="006F51C3"/>
    <w:pPr>
      <w:ind w:left="720"/>
      <w:contextualSpacing/>
    </w:pPr>
  </w:style>
  <w:style w:type="paragraph" w:styleId="Header">
    <w:name w:val="header"/>
    <w:basedOn w:val="Normal"/>
    <w:link w:val="HeaderChar"/>
    <w:uiPriority w:val="99"/>
    <w:unhideWhenUsed/>
    <w:rsid w:val="00315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444"/>
  </w:style>
  <w:style w:type="paragraph" w:styleId="Footer">
    <w:name w:val="footer"/>
    <w:basedOn w:val="Normal"/>
    <w:link w:val="FooterChar"/>
    <w:uiPriority w:val="99"/>
    <w:unhideWhenUsed/>
    <w:rsid w:val="00315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444"/>
  </w:style>
  <w:style w:type="character" w:styleId="UnresolvedMention">
    <w:name w:val="Unresolved Mention"/>
    <w:basedOn w:val="DefaultParagraphFont"/>
    <w:uiPriority w:val="99"/>
    <w:semiHidden/>
    <w:unhideWhenUsed/>
    <w:rsid w:val="00315444"/>
    <w:rPr>
      <w:color w:val="605E5C"/>
      <w:shd w:val="clear" w:color="auto" w:fill="E1DFDD"/>
    </w:rPr>
  </w:style>
  <w:style w:type="character" w:styleId="CommentReference">
    <w:name w:val="annotation reference"/>
    <w:basedOn w:val="DefaultParagraphFont"/>
    <w:uiPriority w:val="99"/>
    <w:semiHidden/>
    <w:unhideWhenUsed/>
    <w:rsid w:val="00E8525B"/>
    <w:rPr>
      <w:sz w:val="16"/>
      <w:szCs w:val="16"/>
    </w:rPr>
  </w:style>
  <w:style w:type="paragraph" w:styleId="CommentText">
    <w:name w:val="annotation text"/>
    <w:basedOn w:val="Normal"/>
    <w:link w:val="CommentTextChar"/>
    <w:uiPriority w:val="99"/>
    <w:semiHidden/>
    <w:unhideWhenUsed/>
    <w:rsid w:val="00E8525B"/>
    <w:pPr>
      <w:spacing w:line="240" w:lineRule="auto"/>
    </w:pPr>
    <w:rPr>
      <w:sz w:val="20"/>
      <w:szCs w:val="20"/>
    </w:rPr>
  </w:style>
  <w:style w:type="character" w:customStyle="1" w:styleId="CommentTextChar">
    <w:name w:val="Comment Text Char"/>
    <w:basedOn w:val="DefaultParagraphFont"/>
    <w:link w:val="CommentText"/>
    <w:uiPriority w:val="99"/>
    <w:semiHidden/>
    <w:rsid w:val="00E8525B"/>
    <w:rPr>
      <w:sz w:val="20"/>
      <w:szCs w:val="20"/>
    </w:rPr>
  </w:style>
  <w:style w:type="paragraph" w:styleId="CommentSubject">
    <w:name w:val="annotation subject"/>
    <w:basedOn w:val="CommentText"/>
    <w:next w:val="CommentText"/>
    <w:link w:val="CommentSubjectChar"/>
    <w:uiPriority w:val="99"/>
    <w:semiHidden/>
    <w:unhideWhenUsed/>
    <w:rsid w:val="00E8525B"/>
    <w:rPr>
      <w:b/>
      <w:bCs/>
    </w:rPr>
  </w:style>
  <w:style w:type="character" w:customStyle="1" w:styleId="CommentSubjectChar">
    <w:name w:val="Comment Subject Char"/>
    <w:basedOn w:val="CommentTextChar"/>
    <w:link w:val="CommentSubject"/>
    <w:uiPriority w:val="99"/>
    <w:semiHidden/>
    <w:rsid w:val="00E8525B"/>
    <w:rPr>
      <w:b/>
      <w:bCs/>
      <w:sz w:val="20"/>
      <w:szCs w:val="20"/>
    </w:rPr>
  </w:style>
  <w:style w:type="character" w:styleId="PlaceholderText">
    <w:name w:val="Placeholder Text"/>
    <w:basedOn w:val="DefaultParagraphFont"/>
    <w:uiPriority w:val="99"/>
    <w:semiHidden/>
    <w:rsid w:val="00923A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633748">
      <w:bodyDiv w:val="1"/>
      <w:marLeft w:val="0"/>
      <w:marRight w:val="0"/>
      <w:marTop w:val="0"/>
      <w:marBottom w:val="0"/>
      <w:divBdr>
        <w:top w:val="none" w:sz="0" w:space="0" w:color="auto"/>
        <w:left w:val="none" w:sz="0" w:space="0" w:color="auto"/>
        <w:bottom w:val="none" w:sz="0" w:space="0" w:color="auto"/>
        <w:right w:val="none" w:sz="0" w:space="0" w:color="auto"/>
      </w:divBdr>
      <w:divsChild>
        <w:div w:id="1812675976">
          <w:marLeft w:val="0"/>
          <w:marRight w:val="0"/>
          <w:marTop w:val="0"/>
          <w:marBottom w:val="0"/>
          <w:divBdr>
            <w:top w:val="none" w:sz="0" w:space="0" w:color="auto"/>
            <w:left w:val="none" w:sz="0" w:space="0" w:color="auto"/>
            <w:bottom w:val="none" w:sz="0" w:space="0" w:color="auto"/>
            <w:right w:val="none" w:sz="0" w:space="0" w:color="auto"/>
          </w:divBdr>
        </w:div>
      </w:divsChild>
    </w:div>
    <w:div w:id="1393505597">
      <w:bodyDiv w:val="1"/>
      <w:marLeft w:val="0"/>
      <w:marRight w:val="0"/>
      <w:marTop w:val="0"/>
      <w:marBottom w:val="0"/>
      <w:divBdr>
        <w:top w:val="none" w:sz="0" w:space="0" w:color="auto"/>
        <w:left w:val="none" w:sz="0" w:space="0" w:color="auto"/>
        <w:bottom w:val="none" w:sz="0" w:space="0" w:color="auto"/>
        <w:right w:val="none" w:sz="0" w:space="0" w:color="auto"/>
      </w:divBdr>
      <w:divsChild>
        <w:div w:id="1062288582">
          <w:marLeft w:val="0"/>
          <w:marRight w:val="0"/>
          <w:marTop w:val="0"/>
          <w:marBottom w:val="0"/>
          <w:divBdr>
            <w:top w:val="none" w:sz="0" w:space="0" w:color="auto"/>
            <w:left w:val="none" w:sz="0" w:space="0" w:color="auto"/>
            <w:bottom w:val="none" w:sz="0" w:space="0" w:color="auto"/>
            <w:right w:val="none" w:sz="0" w:space="0" w:color="auto"/>
          </w:divBdr>
        </w:div>
        <w:div w:id="1086920655">
          <w:marLeft w:val="0"/>
          <w:marRight w:val="0"/>
          <w:marTop w:val="0"/>
          <w:marBottom w:val="0"/>
          <w:divBdr>
            <w:top w:val="none" w:sz="0" w:space="0" w:color="auto"/>
            <w:left w:val="none" w:sz="0" w:space="0" w:color="auto"/>
            <w:bottom w:val="none" w:sz="0" w:space="0" w:color="auto"/>
            <w:right w:val="none" w:sz="0" w:space="0" w:color="auto"/>
          </w:divBdr>
          <w:divsChild>
            <w:div w:id="2085374192">
              <w:marLeft w:val="0"/>
              <w:marRight w:val="0"/>
              <w:marTop w:val="0"/>
              <w:marBottom w:val="0"/>
              <w:divBdr>
                <w:top w:val="none" w:sz="0" w:space="0" w:color="auto"/>
                <w:left w:val="none" w:sz="0" w:space="0" w:color="auto"/>
                <w:bottom w:val="none" w:sz="0" w:space="0" w:color="auto"/>
                <w:right w:val="none" w:sz="0" w:space="0" w:color="auto"/>
              </w:divBdr>
              <w:divsChild>
                <w:div w:id="1526795518">
                  <w:marLeft w:val="0"/>
                  <w:marRight w:val="0"/>
                  <w:marTop w:val="0"/>
                  <w:marBottom w:val="0"/>
                  <w:divBdr>
                    <w:top w:val="none" w:sz="0" w:space="0" w:color="auto"/>
                    <w:left w:val="none" w:sz="0" w:space="0" w:color="auto"/>
                    <w:bottom w:val="none" w:sz="0" w:space="0" w:color="auto"/>
                    <w:right w:val="none" w:sz="0" w:space="0" w:color="auto"/>
                  </w:divBdr>
                  <w:divsChild>
                    <w:div w:id="73404252">
                      <w:marLeft w:val="0"/>
                      <w:marRight w:val="0"/>
                      <w:marTop w:val="0"/>
                      <w:marBottom w:val="0"/>
                      <w:divBdr>
                        <w:top w:val="none" w:sz="0" w:space="0" w:color="auto"/>
                        <w:left w:val="none" w:sz="0" w:space="0" w:color="auto"/>
                        <w:bottom w:val="none" w:sz="0" w:space="0" w:color="auto"/>
                        <w:right w:val="none" w:sz="0" w:space="0" w:color="auto"/>
                      </w:divBdr>
                      <w:divsChild>
                        <w:div w:id="1569195449">
                          <w:marLeft w:val="0"/>
                          <w:marRight w:val="0"/>
                          <w:marTop w:val="0"/>
                          <w:marBottom w:val="0"/>
                          <w:divBdr>
                            <w:top w:val="none" w:sz="0" w:space="0" w:color="auto"/>
                            <w:left w:val="none" w:sz="0" w:space="0" w:color="auto"/>
                            <w:bottom w:val="none" w:sz="0" w:space="0" w:color="auto"/>
                            <w:right w:val="none" w:sz="0" w:space="0" w:color="auto"/>
                          </w:divBdr>
                          <w:divsChild>
                            <w:div w:id="799878943">
                              <w:marLeft w:val="0"/>
                              <w:marRight w:val="0"/>
                              <w:marTop w:val="0"/>
                              <w:marBottom w:val="0"/>
                              <w:divBdr>
                                <w:top w:val="none" w:sz="0" w:space="0" w:color="auto"/>
                                <w:left w:val="none" w:sz="0" w:space="0" w:color="auto"/>
                                <w:bottom w:val="none" w:sz="0" w:space="0" w:color="auto"/>
                                <w:right w:val="none" w:sz="0" w:space="0" w:color="auto"/>
                              </w:divBdr>
                              <w:divsChild>
                                <w:div w:id="1468084542">
                                  <w:marLeft w:val="0"/>
                                  <w:marRight w:val="0"/>
                                  <w:marTop w:val="0"/>
                                  <w:marBottom w:val="0"/>
                                  <w:divBdr>
                                    <w:top w:val="none" w:sz="0" w:space="0" w:color="auto"/>
                                    <w:left w:val="none" w:sz="0" w:space="0" w:color="auto"/>
                                    <w:bottom w:val="none" w:sz="0" w:space="0" w:color="auto"/>
                                    <w:right w:val="none" w:sz="0" w:space="0" w:color="auto"/>
                                  </w:divBdr>
                                  <w:divsChild>
                                    <w:div w:id="17828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698287">
          <w:marLeft w:val="0"/>
          <w:marRight w:val="0"/>
          <w:marTop w:val="0"/>
          <w:marBottom w:val="0"/>
          <w:divBdr>
            <w:top w:val="none" w:sz="0" w:space="0" w:color="auto"/>
            <w:left w:val="none" w:sz="0" w:space="0" w:color="auto"/>
            <w:bottom w:val="none" w:sz="0" w:space="0" w:color="auto"/>
            <w:right w:val="none" w:sz="0" w:space="0" w:color="auto"/>
          </w:divBdr>
          <w:divsChild>
            <w:div w:id="416368598">
              <w:marLeft w:val="0"/>
              <w:marRight w:val="0"/>
              <w:marTop w:val="0"/>
              <w:marBottom w:val="0"/>
              <w:divBdr>
                <w:top w:val="none" w:sz="0" w:space="0" w:color="auto"/>
                <w:left w:val="none" w:sz="0" w:space="0" w:color="auto"/>
                <w:bottom w:val="none" w:sz="0" w:space="0" w:color="auto"/>
                <w:right w:val="none" w:sz="0" w:space="0" w:color="auto"/>
              </w:divBdr>
            </w:div>
            <w:div w:id="19803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blogs.openbookpublishers.com/the-monograph-crisis-open-access-for-art-and-design-scholarship/" TargetMode="External"/><Relationship Id="rId13" Type="http://schemas.openxmlformats.org/officeDocument/2006/relationships/hyperlink" Target="https://www.wipo.int/treaties/en/ip/berne/" TargetMode="External"/><Relationship Id="rId3" Type="http://schemas.openxmlformats.org/officeDocument/2006/relationships/hyperlink" Target="https://www.courtlistener.com/docket/17211300/hachette-book-group-inc-v-internet-archive/" TargetMode="External"/><Relationship Id="rId7" Type="http://schemas.openxmlformats.org/officeDocument/2006/relationships/hyperlink" Target="https://openscience.com/the-forever-decline-academias-monograph-crisis/" TargetMode="External"/><Relationship Id="rId12" Type="http://schemas.openxmlformats.org/officeDocument/2006/relationships/hyperlink" Target="http://curia.europa.eu/juris/liste.jsf?num=C-117/13" TargetMode="External"/><Relationship Id="rId2" Type="http://schemas.openxmlformats.org/officeDocument/2006/relationships/hyperlink" Target="http://curia.europa.eu/juris/liste.jsf?num=C-174/15" TargetMode="External"/><Relationship Id="rId1" Type="http://schemas.openxmlformats.org/officeDocument/2006/relationships/hyperlink" Target="https://controlleddigitallending.org/whitepaper" TargetMode="External"/><Relationship Id="rId6" Type="http://schemas.openxmlformats.org/officeDocument/2006/relationships/hyperlink" Target="https://academicebookinvestigation.org/" TargetMode="External"/><Relationship Id="rId11" Type="http://schemas.openxmlformats.org/officeDocument/2006/relationships/hyperlink" Target="https://www.ifla.org/publications/the-ifla-position-on-public-lending-right--2016" TargetMode="External"/><Relationship Id="rId5" Type="http://schemas.openxmlformats.org/officeDocument/2006/relationships/hyperlink" Target="https://www.sconul.ac.uk/sites/default/files/documents/CNAC%20Research%20Project%20Report%20FINAL%20with%20logos.pdf" TargetMode="External"/><Relationship Id="rId10" Type="http://schemas.openxmlformats.org/officeDocument/2006/relationships/hyperlink" Target="https://wipolex.wipo.int/en/treaties/textdetails/12214" TargetMode="External"/><Relationship Id="rId4" Type="http://schemas.openxmlformats.org/officeDocument/2006/relationships/hyperlink" Target="https://archive.org/details/toronto" TargetMode="External"/><Relationship Id="rId9" Type="http://schemas.openxmlformats.org/officeDocument/2006/relationships/hyperlink" Target="https://www.forbes.com/sites/rachelkramerbussel/2019/04/12/how-libraries-boost-book-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8B40-1EEA-4CEA-B38C-C8DE3FF2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Francoise</dc:creator>
  <cp:keywords/>
  <dc:description/>
  <cp:lastModifiedBy>Camille Francoise</cp:lastModifiedBy>
  <cp:revision>17</cp:revision>
  <dcterms:created xsi:type="dcterms:W3CDTF">2021-06-17T08:38:00Z</dcterms:created>
  <dcterms:modified xsi:type="dcterms:W3CDTF">2021-06-17T11:48:00Z</dcterms:modified>
</cp:coreProperties>
</file>