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45"/>
        <w:gridCol w:w="4615"/>
      </w:tblGrid>
      <w:tr w:rsidR="00033093" w:rsidRPr="00555E17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28/02/2022 16:35:49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proofErr w:type="spellStart"/>
            <w:r w:rsidRPr="00555E17">
              <w:rPr>
                <w:lang w:val="en-GB"/>
              </w:rPr>
              <w:t>Varberg</w:t>
            </w:r>
            <w:proofErr w:type="spellEnd"/>
            <w:r w:rsidRPr="00555E17">
              <w:rPr>
                <w:lang w:val="en-GB"/>
              </w:rPr>
              <w:t xml:space="preserve"> public library</w:t>
            </w:r>
          </w:p>
        </w:tc>
      </w:tr>
      <w:tr w:rsidR="00033093" w:rsidRPr="00555E1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proofErr w:type="spellStart"/>
            <w:r w:rsidRPr="00555E17">
              <w:rPr>
                <w:lang w:val="en-GB"/>
              </w:rPr>
              <w:t>Fredrika</w:t>
            </w:r>
            <w:proofErr w:type="spellEnd"/>
            <w:r w:rsidRPr="00555E17">
              <w:rPr>
                <w:lang w:val="en-GB"/>
              </w:rPr>
              <w:t xml:space="preserve"> Sjöberg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fredrika.sjoberg@varberg.se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Sweden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hyperlink r:id="rId9" w:history="1">
              <w:r w:rsidRPr="005B6E26">
                <w:rPr>
                  <w:rStyle w:val="Hyperlnk"/>
                  <w:lang w:val="en-GB"/>
                </w:rPr>
                <w:t>https://varberg.se/kulturhusetkomedianten/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555E1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English, Swedish</w:t>
            </w:r>
          </w:p>
        </w:tc>
      </w:tr>
      <w:tr w:rsidR="00033093" w:rsidRPr="00555E1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Swedish and English</w:t>
            </w:r>
          </w:p>
        </w:tc>
      </w:tr>
      <w:tr w:rsidR="00033093" w:rsidRPr="00555E1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6-10</w:t>
            </w:r>
          </w:p>
        </w:tc>
      </w:tr>
      <w:tr w:rsidR="00033093" w:rsidRPr="00555E1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"Rhyme and song time for babies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Mini week (</w:t>
            </w:r>
            <w:proofErr w:type="spellStart"/>
            <w:r w:rsidRPr="00555E17">
              <w:rPr>
                <w:lang w:val="en-GB"/>
              </w:rPr>
              <w:t>babysalsa</w:t>
            </w:r>
            <w:proofErr w:type="spellEnd"/>
            <w:r w:rsidRPr="00555E17">
              <w:rPr>
                <w:lang w:val="en-GB"/>
              </w:rPr>
              <w:t xml:space="preserve">, baby painting, baby </w:t>
            </w:r>
            <w:proofErr w:type="spellStart"/>
            <w:r w:rsidRPr="00555E17">
              <w:rPr>
                <w:lang w:val="en-GB"/>
              </w:rPr>
              <w:t>rhytmics</w:t>
            </w:r>
            <w:proofErr w:type="spellEnd"/>
            <w:r w:rsidRPr="00555E17">
              <w:rPr>
                <w:lang w:val="en-GB"/>
              </w:rPr>
              <w:t>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 xml:space="preserve">Books on a recipe (collaboration with </w:t>
            </w:r>
            <w:proofErr w:type="spellStart"/>
            <w:r w:rsidRPr="00555E17">
              <w:rPr>
                <w:lang w:val="en-GB"/>
              </w:rPr>
              <w:t>speach</w:t>
            </w:r>
            <w:proofErr w:type="spellEnd"/>
            <w:r w:rsidRPr="00555E17">
              <w:rPr>
                <w:lang w:val="en-GB"/>
              </w:rPr>
              <w:t xml:space="preserve"> therapists)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Saturday story hour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Story hour outdoors with the tandem bike (dressed up as police man and thief, ghosts, trolls, constructions workers and so on)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Story walk in the park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Book characters birthday party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Santa´s gone missing in the library!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Soft toy sleep over at the library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Sleep over at the library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Summer camp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Read the game (collaboration with a local soccer club)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The origami fox mystery, Alice in Wonderland tea party,  Boat adventure to an island, Ride and read (book club themes)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Zombie night, Escape from the haunted theatre, The wanderer from the East tells ghost stories (Halloween themes)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lastRenderedPageBreak/>
              <w:t>Apple week (focus and awareness week on children and teens with disabilities and their adults)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 xml:space="preserve">Book discussion club with author visits </w:t>
            </w:r>
          </w:p>
          <w:p w:rsidR="00555E17" w:rsidRPr="00555E17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Mental health month (for youths)</w:t>
            </w:r>
          </w:p>
          <w:p w:rsidR="00033093" w:rsidRPr="00033093" w:rsidRDefault="00555E17" w:rsidP="00555E17">
            <w:pPr>
              <w:rPr>
                <w:lang w:val="en-GB"/>
              </w:rPr>
            </w:pPr>
            <w:r w:rsidRPr="00555E17">
              <w:rPr>
                <w:lang w:val="en-GB"/>
              </w:rPr>
              <w:t>"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lastRenderedPageBreak/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Any</w:t>
            </w:r>
          </w:p>
        </w:tc>
      </w:tr>
      <w:tr w:rsidR="00033093" w:rsidRPr="00555E17" w:rsidTr="00033093">
        <w:tc>
          <w:tcPr>
            <w:tcW w:w="4605" w:type="dxa"/>
          </w:tcPr>
          <w:p w:rsidR="00555E17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555E17" w:rsidRPr="00033093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555E17">
              <w:rPr>
                <w:lang w:val="en-GB"/>
              </w:rPr>
              <w:t>continuining</w:t>
            </w:r>
            <w:proofErr w:type="spellEnd"/>
            <w:r w:rsidRPr="00555E17">
              <w:rPr>
                <w:lang w:val="en-GB"/>
              </w:rPr>
              <w:t xml:space="preserve"> education, Improving language skills (staff or patrons), Communication, networking, We would like to broaden our perspectives and learn about the work and activities in libraries in other parts of the world</w:t>
            </w:r>
          </w:p>
        </w:tc>
      </w:tr>
      <w:tr w:rsidR="00555E17" w:rsidRPr="00555E17" w:rsidTr="00033093">
        <w:tc>
          <w:tcPr>
            <w:tcW w:w="4605" w:type="dxa"/>
          </w:tcPr>
          <w:p w:rsidR="00555E17" w:rsidRPr="00D7357E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Anything else you'd like to say</w:t>
            </w:r>
            <w:bookmarkStart w:id="0" w:name="_GoBack"/>
            <w:bookmarkEnd w:id="0"/>
          </w:p>
        </w:tc>
        <w:tc>
          <w:tcPr>
            <w:tcW w:w="4605" w:type="dxa"/>
          </w:tcPr>
          <w:p w:rsidR="00555E17" w:rsidRPr="00555E17" w:rsidRDefault="00555E17" w:rsidP="00C60207">
            <w:pPr>
              <w:rPr>
                <w:lang w:val="en-GB"/>
              </w:rPr>
            </w:pPr>
            <w:r w:rsidRPr="00555E17">
              <w:rPr>
                <w:lang w:val="en-GB"/>
              </w:rPr>
              <w:t>Looking forward to find friends!</w:t>
            </w: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BC" w:rsidRDefault="005D7ABC" w:rsidP="00943698">
      <w:pPr>
        <w:spacing w:line="240" w:lineRule="auto"/>
      </w:pPr>
      <w:r>
        <w:separator/>
      </w:r>
    </w:p>
  </w:endnote>
  <w:endnote w:type="continuationSeparator" w:id="0">
    <w:p w:rsidR="005D7ABC" w:rsidRDefault="005D7AB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BC" w:rsidRDefault="005D7ABC" w:rsidP="00943698">
      <w:pPr>
        <w:spacing w:line="240" w:lineRule="auto"/>
      </w:pPr>
      <w:r>
        <w:separator/>
      </w:r>
    </w:p>
  </w:footnote>
  <w:footnote w:type="continuationSeparator" w:id="0">
    <w:p w:rsidR="005D7ABC" w:rsidRDefault="005D7AB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15203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55E17"/>
    <w:rsid w:val="005A1CBF"/>
    <w:rsid w:val="005A31D1"/>
    <w:rsid w:val="005B04DB"/>
    <w:rsid w:val="005C1829"/>
    <w:rsid w:val="005D7ABC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D918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rberg.se/kulturhusetkomediant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CCDC-AC2B-4466-AD14-EF9835CB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2022-03-31T08:42:00Z</dcterms:created>
  <dcterms:modified xsi:type="dcterms:W3CDTF">2022-03-31T08:45:00Z</dcterms:modified>
</cp:coreProperties>
</file>